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bCs/>
          <w:color w:val="000000" w:themeColor="text1"/>
          <w:sz w:val="28"/>
          <w:szCs w:val="28"/>
          <w:highlight w:val="none"/>
          <w14:textFill>
            <w14:solidFill>
              <w14:schemeClr w14:val="tx1"/>
            </w14:solidFill>
          </w14:textFill>
        </w:rPr>
      </w:pPr>
      <w:bookmarkStart w:id="35" w:name="_GoBack"/>
      <w:bookmarkEnd w:id="35"/>
    </w:p>
    <w:p>
      <w:pPr>
        <w:pStyle w:val="4"/>
        <w:tabs>
          <w:tab w:val="left" w:pos="0"/>
          <w:tab w:val="left" w:pos="3165"/>
          <w:tab w:val="center" w:pos="4153"/>
        </w:tabs>
        <w:autoSpaceDE w:val="0"/>
        <w:autoSpaceDN w:val="0"/>
        <w:adjustRightInd w:val="0"/>
        <w:spacing w:before="0" w:after="0" w:line="360" w:lineRule="auto"/>
        <w:jc w:val="left"/>
        <w:rPr>
          <w:rFonts w:ascii="华文中宋" w:hAnsi="华文中宋" w:eastAsia="华文中宋"/>
          <w:color w:val="000000" w:themeColor="text1"/>
          <w:highlight w:val="none"/>
          <w14:textFill>
            <w14:solidFill>
              <w14:schemeClr w14:val="tx1"/>
            </w14:solidFill>
          </w14:textFill>
        </w:rPr>
      </w:pPr>
      <w:r>
        <w:rPr>
          <w:rFonts w:ascii="华文中宋" w:hAnsi="华文中宋" w:eastAsia="华文中宋"/>
          <w:color w:val="000000" w:themeColor="text1"/>
          <w:highlight w:val="none"/>
          <w14:textFill>
            <w14:solidFill>
              <w14:schemeClr w14:val="tx1"/>
            </w14:solidFill>
          </w14:textFill>
        </w:rPr>
        <w:tab/>
      </w:r>
      <w:r>
        <w:rPr>
          <w:rFonts w:ascii="华文中宋" w:hAnsi="华文中宋" w:eastAsia="华文中宋"/>
          <w:color w:val="000000" w:themeColor="text1"/>
          <w:highlight w:val="none"/>
          <w14:textFill>
            <w14:solidFill>
              <w14:schemeClr w14:val="tx1"/>
            </w14:solidFill>
          </w14:textFill>
        </w:rPr>
        <w:tab/>
      </w:r>
      <w:bookmarkStart w:id="0" w:name="_Toc28359001"/>
      <w:bookmarkStart w:id="1" w:name="_Toc35393789"/>
      <w:r>
        <w:rPr>
          <w:rFonts w:hint="eastAsia" w:ascii="华文中宋" w:hAnsi="华文中宋" w:eastAsia="华文中宋"/>
          <w:color w:val="000000" w:themeColor="text1"/>
          <w:highlight w:val="none"/>
          <w:lang w:eastAsia="zh-CN"/>
          <w14:textFill>
            <w14:solidFill>
              <w14:schemeClr w14:val="tx1"/>
            </w14:solidFill>
          </w14:textFill>
        </w:rPr>
        <w:t>招标</w:t>
      </w:r>
      <w:r>
        <w:rPr>
          <w:rFonts w:hint="eastAsia" w:ascii="华文中宋" w:hAnsi="华文中宋" w:eastAsia="华文中宋"/>
          <w:color w:val="000000" w:themeColor="text1"/>
          <w:highlight w:val="none"/>
          <w14:textFill>
            <w14:solidFill>
              <w14:schemeClr w14:val="tx1"/>
            </w14:solidFill>
          </w14:textFill>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eastAsia="zh-CN"/>
          <w14:textFill>
            <w14:solidFill>
              <w14:schemeClr w14:val="tx1"/>
            </w14:solidFill>
          </w14:textFill>
        </w:rPr>
        <w:t>成都体育学院2020年中央项目运动医学与健康学院教学、科研、实验仪器设备采购项目（第二次）</w:t>
      </w:r>
      <w:r>
        <w:rPr>
          <w:rFonts w:hint="eastAsia" w:ascii="仿宋" w:hAnsi="仿宋" w:eastAsia="仿宋"/>
          <w:color w:val="000000" w:themeColor="text1"/>
          <w:sz w:val="28"/>
          <w:szCs w:val="28"/>
          <w:highlight w:val="none"/>
          <w14:textFill>
            <w14:solidFill>
              <w14:schemeClr w14:val="tx1"/>
            </w14:solidFill>
          </w14:textFill>
        </w:rPr>
        <w:t>的潜在投标人应在</w:t>
      </w:r>
      <w:r>
        <w:rPr>
          <w:rFonts w:hint="eastAsia" w:ascii="仿宋" w:hAnsi="仿宋" w:eastAsia="仿宋"/>
          <w:color w:val="000000" w:themeColor="text1"/>
          <w:sz w:val="28"/>
          <w:szCs w:val="28"/>
          <w:highlight w:val="none"/>
          <w:u w:val="single"/>
          <w14:textFill>
            <w14:solidFill>
              <w14:schemeClr w14:val="tx1"/>
            </w14:solidFill>
          </w14:textFill>
        </w:rPr>
        <w:t>成都市高新区天府大道1700号新世纪环球中心E3门栋6楼2-1-611-615四川中意招标有限公司</w:t>
      </w:r>
      <w:r>
        <w:rPr>
          <w:rFonts w:hint="eastAsia" w:ascii="仿宋" w:hAnsi="仿宋" w:eastAsia="仿宋"/>
          <w:color w:val="000000" w:themeColor="text1"/>
          <w:sz w:val="28"/>
          <w:szCs w:val="28"/>
          <w:highlight w:val="none"/>
          <w14:textFill>
            <w14:solidFill>
              <w14:schemeClr w14:val="tx1"/>
            </w14:solidFill>
          </w14:textFill>
        </w:rPr>
        <w:t>获取招标文件，并于</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2021</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 xml:space="preserve">点 </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00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北京时间）前递交投标</w:t>
      </w:r>
      <w:r>
        <w:rPr>
          <w:rFonts w:ascii="仿宋" w:hAnsi="仿宋" w:eastAsia="仿宋"/>
          <w:bCs/>
          <w:color w:val="000000" w:themeColor="text1"/>
          <w:sz w:val="28"/>
          <w:szCs w:val="28"/>
          <w:highlight w:val="none"/>
          <w14:textFill>
            <w14:solidFill>
              <w14:schemeClr w14:val="tx1"/>
            </w14:solidFill>
          </w14:textFill>
        </w:rPr>
        <w:t>文件</w:t>
      </w:r>
      <w:r>
        <w:rPr>
          <w:rFonts w:hint="eastAsia" w:ascii="仿宋" w:hAnsi="仿宋" w:eastAsia="仿宋"/>
          <w:color w:val="000000" w:themeColor="text1"/>
          <w:sz w:val="28"/>
          <w:szCs w:val="28"/>
          <w:highlight w:val="none"/>
          <w14:textFill>
            <w14:solidFill>
              <w14:schemeClr w14:val="tx1"/>
            </w14:solidFill>
          </w14:textFill>
        </w:rPr>
        <w:t>。</w:t>
      </w:r>
    </w:p>
    <w:p>
      <w:pPr>
        <w:rPr>
          <w:color w:val="000000" w:themeColor="text1"/>
          <w:sz w:val="28"/>
          <w:szCs w:val="28"/>
          <w:highlight w:val="none"/>
          <w14:textFill>
            <w14:solidFill>
              <w14:schemeClr w14:val="tx1"/>
            </w14:solidFill>
          </w14:textFill>
        </w:rPr>
      </w:pP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2" w:name="_Toc35393790"/>
      <w:bookmarkStart w:id="3" w:name="_Toc35393621"/>
      <w:bookmarkStart w:id="4" w:name="_Toc28359079"/>
      <w:bookmarkStart w:id="5" w:name="_Toc28359002"/>
      <w:bookmarkStart w:id="6" w:name="_Hlk24379207"/>
      <w:r>
        <w:rPr>
          <w:rFonts w:hint="eastAsia" w:ascii="黑体" w:hAnsi="黑体" w:cs="宋体"/>
          <w:b w:val="0"/>
          <w:color w:val="000000" w:themeColor="text1"/>
          <w:sz w:val="28"/>
          <w:szCs w:val="28"/>
          <w:highlight w:val="none"/>
          <w14:textFill>
            <w14:solidFill>
              <w14:schemeClr w14:val="tx1"/>
            </w14:solidFill>
          </w14:textFill>
        </w:rPr>
        <w:t>一、项目基本情况</w:t>
      </w:r>
      <w:bookmarkEnd w:id="2"/>
      <w:bookmarkEnd w:id="3"/>
      <w:bookmarkEnd w:id="4"/>
      <w:bookmarkEnd w:id="5"/>
    </w:p>
    <w:p>
      <w:pPr>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项目编号：510201202179209</w:t>
      </w:r>
    </w:p>
    <w:p>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备案编号：SCZC304948_20200105</w:t>
      </w:r>
    </w:p>
    <w:p>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val="en-US" w:eastAsia="zh-CN"/>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成都体育学院2020年中央项目运动医学与健康学院教学、科研、实验仪器设备采购项目（第二次）</w:t>
      </w:r>
    </w:p>
    <w:bookmarkEnd w:id="6"/>
    <w:p>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包数：本项目共计</w:t>
      </w:r>
      <w:r>
        <w:rPr>
          <w:rFonts w:hint="eastAsia" w:ascii="仿宋" w:hAnsi="仿宋" w:eastAsia="仿宋"/>
          <w:color w:val="000000" w:themeColor="text1"/>
          <w:sz w:val="28"/>
          <w:szCs w:val="28"/>
          <w:highlight w:val="none"/>
          <w:lang w:val="en-US" w:eastAsia="zh-CN"/>
          <w14:textFill>
            <w14:solidFill>
              <w14:schemeClr w14:val="tx1"/>
            </w14:solidFill>
          </w14:textFill>
        </w:rPr>
        <w:t>5包</w:t>
      </w:r>
    </w:p>
    <w:p>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分包</w:t>
      </w:r>
      <w:r>
        <w:rPr>
          <w:rFonts w:hint="eastAsia" w:ascii="仿宋" w:hAnsi="仿宋" w:eastAsia="仿宋"/>
          <w:color w:val="000000" w:themeColor="text1"/>
          <w:sz w:val="28"/>
          <w:szCs w:val="28"/>
          <w:highlight w:val="none"/>
          <w14:textFill>
            <w14:solidFill>
              <w14:schemeClr w14:val="tx1"/>
            </w14:solidFill>
          </w14:textFill>
        </w:rPr>
        <w:t>预算金额</w:t>
      </w:r>
      <w:r>
        <w:rPr>
          <w:rFonts w:hint="eastAsia" w:ascii="仿宋" w:hAnsi="仿宋" w:eastAsia="仿宋"/>
          <w:color w:val="000000" w:themeColor="text1"/>
          <w:sz w:val="28"/>
          <w:szCs w:val="28"/>
          <w:highlight w:val="none"/>
          <w:lang w:eastAsia="zh-CN"/>
          <w14:textFill>
            <w14:solidFill>
              <w14:schemeClr w14:val="tx1"/>
            </w14:solidFill>
          </w14:textFill>
        </w:rPr>
        <w:t>（如多包分包写明）</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236.93万元（人民币），本次采购预算：141.59万元(人民币)，其中第1包：16万元，第2包：55万元，第3包：6.68万元，第4包：34.91万元，第5包：29万元；</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最高限价（如有）：</w:t>
      </w:r>
      <w:r>
        <w:rPr>
          <w:rFonts w:hint="eastAsia" w:ascii="仿宋" w:hAnsi="仿宋" w:eastAsia="仿宋"/>
          <w:color w:val="000000" w:themeColor="text1"/>
          <w:sz w:val="28"/>
          <w:szCs w:val="28"/>
          <w:highlight w:val="none"/>
          <w:lang w:val="en-US" w:eastAsia="zh-CN"/>
          <w14:textFill>
            <w14:solidFill>
              <w14:schemeClr w14:val="tx1"/>
            </w14:solidFill>
          </w14:textFill>
        </w:rPr>
        <w:t>141.59万元(人民币)，其中第1包：16万元，第2包：55万元，第3包：6.68万元，第4包：34.91万元，第5包：29万元；</w:t>
      </w:r>
    </w:p>
    <w:p>
      <w:pPr>
        <w:ind w:firstLine="560" w:firstLineChars="200"/>
        <w:rPr>
          <w:rFonts w:hint="eastAsia" w:ascii="仿宋" w:hAnsi="仿宋" w:eastAsia="仿宋"/>
          <w:color w:val="000000" w:themeColor="text1"/>
          <w:sz w:val="28"/>
          <w:szCs w:val="28"/>
          <w:highlight w:val="none"/>
          <w:u w:val="singl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w:t>
      </w:r>
      <w:r>
        <w:rPr>
          <w:rFonts w:hint="eastAsia" w:ascii="仿宋" w:hAnsi="仿宋" w:eastAsia="仿宋"/>
          <w:color w:val="000000" w:themeColor="text1"/>
          <w:sz w:val="28"/>
          <w:szCs w:val="28"/>
          <w:highlight w:val="none"/>
          <w:lang w:eastAsia="zh-CN"/>
          <w14:textFill>
            <w14:solidFill>
              <w14:schemeClr w14:val="tx1"/>
            </w14:solidFill>
          </w14:textFill>
        </w:rPr>
        <w:t>详见附件。</w:t>
      </w:r>
    </w:p>
    <w:p>
      <w:pPr>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w:t>
      </w:r>
      <w:r>
        <w:rPr>
          <w:rFonts w:hint="eastAsia" w:ascii="仿宋" w:hAnsi="仿宋" w:eastAsia="仿宋"/>
          <w:color w:val="000000" w:themeColor="text1"/>
          <w:sz w:val="28"/>
          <w:szCs w:val="28"/>
          <w:highlight w:val="none"/>
          <w:lang w:val="en-US" w:eastAsia="zh-CN"/>
          <w14:textFill>
            <w14:solidFill>
              <w14:schemeClr w14:val="tx1"/>
            </w14:solidFill>
          </w14:textFill>
        </w:rPr>
        <w:t>30天</w:t>
      </w:r>
    </w:p>
    <w:p>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是否面向中小企业：否</w:t>
      </w:r>
    </w:p>
    <w:p>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w:t>
      </w:r>
      <w:r>
        <w:rPr>
          <w:rFonts w:ascii="仿宋" w:hAnsi="仿宋" w:eastAsia="仿宋"/>
          <w:i/>
          <w:color w:val="000000" w:themeColor="text1"/>
          <w:sz w:val="28"/>
          <w:szCs w:val="28"/>
          <w:highlight w:val="none"/>
          <w14:textFill>
            <w14:solidFill>
              <w14:schemeClr w14:val="tx1"/>
            </w14:solidFill>
          </w14:textFill>
        </w:rPr>
        <w:t>否</w:t>
      </w:r>
      <w:r>
        <w:rPr>
          <w:rFonts w:hint="eastAsia" w:ascii="仿宋" w:hAnsi="仿宋" w:eastAsia="仿宋"/>
          <w:color w:val="000000" w:themeColor="text1"/>
          <w:sz w:val="28"/>
          <w:szCs w:val="28"/>
          <w:highlight w:val="none"/>
          <w14:textFill>
            <w14:solidFill>
              <w14:schemeClr w14:val="tx1"/>
            </w14:solidFill>
          </w14:textFill>
        </w:rPr>
        <w:t>）接受联合体。</w:t>
      </w:r>
    </w:p>
    <w:p>
      <w:pPr>
        <w:spacing w:line="360" w:lineRule="auto"/>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是否采购本国货物和服务:是</w:t>
      </w:r>
    </w:p>
    <w:p>
      <w:pPr>
        <w:spacing w:line="360" w:lineRule="auto"/>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是否PPP：否</w:t>
      </w:r>
    </w:p>
    <w:p>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采购项目需要落实的政府采购政策：☑优先采购节能产品；□强制采购节能产品；☑优先采购环境标志产品；□优先采购无限局域网产品；☑促进中小企业发展；☑促进监狱企业发展；☑促进残疾人福利性单位发展；□无。</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7" w:name="_Toc28359080"/>
      <w:bookmarkStart w:id="8" w:name="_Toc35393791"/>
      <w:bookmarkStart w:id="9" w:name="_Toc28359003"/>
      <w:bookmarkStart w:id="10" w:name="_Toc35393622"/>
      <w:r>
        <w:rPr>
          <w:rFonts w:hint="eastAsia" w:ascii="黑体" w:hAnsi="黑体" w:cs="宋体"/>
          <w:b w:val="0"/>
          <w:color w:val="000000" w:themeColor="text1"/>
          <w:sz w:val="28"/>
          <w:szCs w:val="28"/>
          <w:highlight w:val="none"/>
          <w14:textFill>
            <w14:solidFill>
              <w14:schemeClr w14:val="tx1"/>
            </w14:solidFill>
          </w14:textFill>
        </w:rPr>
        <w:t>二、申请人的资格要求：</w:t>
      </w:r>
      <w:bookmarkEnd w:id="7"/>
      <w:bookmarkEnd w:id="8"/>
      <w:bookmarkEnd w:id="9"/>
      <w:bookmarkEnd w:id="10"/>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1.满足《中华人民共和国政府采购法》第二十二条规定；</w:t>
      </w:r>
    </w:p>
    <w:p>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bookmarkStart w:id="11" w:name="_Toc28359081"/>
      <w:bookmarkStart w:id="12" w:name="_Toc28359004"/>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.落实政府采购政策需满足的资格要求：</w:t>
      </w:r>
      <w:r>
        <w:rPr>
          <w:rFonts w:hint="eastAsia" w:ascii="仿宋" w:hAnsi="仿宋" w:eastAsia="仿宋"/>
          <w:color w:val="000000" w:themeColor="text1"/>
          <w:sz w:val="28"/>
          <w:szCs w:val="28"/>
          <w:highlight w:val="none"/>
          <w:lang w:eastAsia="zh-CN"/>
          <w14:textFill>
            <w14:solidFill>
              <w14:schemeClr w14:val="tx1"/>
            </w14:solidFill>
          </w14:textFill>
        </w:rPr>
        <w:t>无；</w:t>
      </w:r>
    </w:p>
    <w:p>
      <w:pPr>
        <w:ind w:firstLine="560" w:firstLineChars="200"/>
        <w:rPr>
          <w:rFonts w:hint="eastAsia" w:ascii="仿宋" w:hAnsi="仿宋" w:eastAsia="仿宋"/>
          <w:i/>
          <w:iCs/>
          <w:color w:val="000000" w:themeColor="text1"/>
          <w:sz w:val="28"/>
          <w:szCs w:val="28"/>
          <w:highlight w:val="none"/>
          <w:u w:val="singl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3.本项目的特定资格要求：</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若采购产品为医疗器械的，投标人须符合《医疗器械监督管理条例》要求并提供投标人经营该产品的经营许可/经营备案证明材料；投标产品须符合《医疗器械注册管理办法》要求并提供产品的注册/备案证明材料。（</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投标人非所投进口产品制造厂家的，需提供所投进口产品制造厂家针对本项目的授权，或具有授权权限的代理商对投标进口产品的授权（且需提供该代理商具有有效授权权限的相关证明文件，证明文件需能显示进口产品制造厂家对投标进口产品授权链条的完整性）。（此条只针对投标人提供进口产品时需提供授权）。</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13" w:name="_Toc35393623"/>
      <w:bookmarkStart w:id="14" w:name="_Toc35393792"/>
      <w:r>
        <w:rPr>
          <w:rFonts w:hint="eastAsia" w:ascii="黑体" w:hAnsi="黑体" w:cs="宋体"/>
          <w:b w:val="0"/>
          <w:color w:val="000000" w:themeColor="text1"/>
          <w:sz w:val="28"/>
          <w:szCs w:val="28"/>
          <w:highlight w:val="none"/>
          <w14:textFill>
            <w14:solidFill>
              <w14:schemeClr w14:val="tx1"/>
            </w14:solidFill>
          </w14:textFill>
        </w:rPr>
        <w:t>三、获取招标文件</w:t>
      </w:r>
      <w:bookmarkEnd w:id="11"/>
      <w:bookmarkEnd w:id="12"/>
      <w:bookmarkEnd w:id="13"/>
      <w:bookmarkEnd w:id="14"/>
    </w:p>
    <w:p>
      <w:pPr>
        <w:spacing w:line="360" w:lineRule="auto"/>
        <w:ind w:firstLine="54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时间：</w:t>
      </w:r>
      <w:r>
        <w:rPr>
          <w:rFonts w:ascii="仿宋" w:hAnsi="仿宋" w:eastAsia="仿宋" w:cs="宋体"/>
          <w:color w:val="000000" w:themeColor="text1"/>
          <w:sz w:val="28"/>
          <w:szCs w:val="28"/>
          <w:highlight w:val="none"/>
          <w:u w:val="single"/>
          <w14:textFill>
            <w14:solidFill>
              <w14:schemeClr w14:val="tx1"/>
            </w14:solidFill>
          </w14:textFill>
        </w:rPr>
        <w:t xml:space="preserve"> </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2021</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4</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21</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14:textFill>
            <w14:solidFill>
              <w14:schemeClr w14:val="tx1"/>
            </w14:solidFill>
          </w14:textFill>
        </w:rPr>
        <w:t xml:space="preserve">  </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2021</w:t>
      </w:r>
      <w:r>
        <w:rPr>
          <w:rFonts w:hint="eastAsia" w:ascii="仿宋" w:hAnsi="仿宋" w:eastAsia="仿宋" w:cs="宋体"/>
          <w:color w:val="000000" w:themeColor="text1"/>
          <w:sz w:val="28"/>
          <w:szCs w:val="28"/>
          <w:highlight w:val="none"/>
          <w:u w:val="single"/>
          <w14:textFill>
            <w14:solidFill>
              <w14:schemeClr w14:val="tx1"/>
            </w14:solidFill>
          </w14:textFill>
        </w:rPr>
        <w:t>年</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4</w:t>
      </w:r>
      <w:r>
        <w:rPr>
          <w:rFonts w:hint="eastAsia" w:ascii="仿宋" w:hAnsi="仿宋" w:eastAsia="仿宋" w:cs="宋体"/>
          <w:color w:val="000000" w:themeColor="text1"/>
          <w:sz w:val="28"/>
          <w:szCs w:val="28"/>
          <w:highlight w:val="none"/>
          <w:u w:val="single"/>
          <w14:textFill>
            <w14:solidFill>
              <w14:schemeClr w14:val="tx1"/>
            </w14:solidFill>
          </w14:textFill>
        </w:rPr>
        <w:t>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26</w:t>
      </w:r>
      <w:r>
        <w:rPr>
          <w:rFonts w:hint="eastAsia" w:ascii="仿宋" w:hAnsi="仿宋" w:eastAsia="仿宋" w:cs="宋体"/>
          <w:color w:val="000000" w:themeColor="text1"/>
          <w:sz w:val="28"/>
          <w:szCs w:val="28"/>
          <w:highlight w:val="none"/>
          <w:u w:val="single"/>
          <w14:textFill>
            <w14:solidFill>
              <w14:schemeClr w14:val="tx1"/>
            </w14:solidFill>
          </w14:textFill>
        </w:rPr>
        <w:t>日</w:t>
      </w:r>
      <w:r>
        <w:rPr>
          <w:rFonts w:hint="eastAsia" w:ascii="仿宋" w:hAnsi="仿宋" w:eastAsia="仿宋" w:cs="宋体"/>
          <w:iCs/>
          <w:color w:val="000000" w:themeColor="text1"/>
          <w:sz w:val="28"/>
          <w:szCs w:val="28"/>
          <w:highlight w:val="none"/>
          <w:u w:val="single"/>
          <w14:textFill>
            <w14:solidFill>
              <w14:schemeClr w14:val="tx1"/>
            </w14:solidFill>
          </w14:textFill>
        </w:rPr>
        <w:t>（</w:t>
      </w:r>
      <w:r>
        <w:rPr>
          <w:rFonts w:hint="eastAsia" w:ascii="仿宋" w:hAnsi="仿宋" w:eastAsia="仿宋" w:cs="宋体"/>
          <w:i/>
          <w:color w:val="000000" w:themeColor="text1"/>
          <w:sz w:val="28"/>
          <w:szCs w:val="28"/>
          <w:highlight w:val="none"/>
          <w:u w:val="single"/>
          <w14:textFill>
            <w14:solidFill>
              <w14:schemeClr w14:val="tx1"/>
            </w14:solidFill>
          </w14:textFill>
        </w:rPr>
        <w:t>提供期限自本公告发布之日起不得少于5个工作日</w:t>
      </w:r>
      <w:r>
        <w:rPr>
          <w:rFonts w:hint="eastAsia" w:ascii="仿宋" w:hAnsi="仿宋" w:eastAsia="仿宋" w:cs="宋体"/>
          <w:iCs/>
          <w:color w:val="000000" w:themeColor="text1"/>
          <w:sz w:val="28"/>
          <w:szCs w:val="28"/>
          <w:highlight w:val="none"/>
          <w:u w:val="single"/>
          <w14:textFill>
            <w14:solidFill>
              <w14:schemeClr w14:val="tx1"/>
            </w14:solidFill>
          </w14:textFill>
        </w:rPr>
        <w:t>）</w:t>
      </w:r>
      <w:r>
        <w:rPr>
          <w:rFonts w:hint="eastAsia" w:ascii="仿宋" w:hAnsi="仿宋" w:eastAsia="仿宋" w:cs="宋体"/>
          <w:color w:val="000000" w:themeColor="text1"/>
          <w:sz w:val="28"/>
          <w:szCs w:val="28"/>
          <w:highlight w:val="none"/>
          <w14:textFill>
            <w14:solidFill>
              <w14:schemeClr w14:val="tx1"/>
            </w14:solidFill>
          </w14:textFill>
        </w:rPr>
        <w:t>，每天上午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9:00</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12:00</w:t>
      </w:r>
      <w:r>
        <w:rPr>
          <w:rFonts w:hint="eastAsia" w:ascii="仿宋" w:hAnsi="仿宋" w:eastAsia="仿宋" w:cs="宋体"/>
          <w:color w:val="000000" w:themeColor="text1"/>
          <w:sz w:val="28"/>
          <w:szCs w:val="28"/>
          <w:highlight w:val="none"/>
          <w14:textFill>
            <w14:solidFill>
              <w14:schemeClr w14:val="tx1"/>
            </w14:solidFill>
          </w14:textFill>
        </w:rPr>
        <w:t>，下午</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14:00</w:t>
      </w:r>
      <w:r>
        <w:rPr>
          <w:rFonts w:hint="eastAsia" w:ascii="仿宋" w:hAnsi="仿宋" w:eastAsia="仿宋" w:cs="宋体"/>
          <w:color w:val="000000" w:themeColor="text1"/>
          <w:sz w:val="28"/>
          <w:szCs w:val="28"/>
          <w:highlight w:val="none"/>
          <w14:textFill>
            <w14:solidFill>
              <w14:schemeClr w14:val="tx1"/>
            </w14:solidFill>
          </w14:textFill>
        </w:rPr>
        <w:t>至</w:t>
      </w:r>
      <w:r>
        <w:rPr>
          <w:rFonts w:hint="eastAsia" w:ascii="仿宋" w:hAnsi="仿宋" w:eastAsia="仿宋" w:cs="宋体"/>
          <w:color w:val="000000" w:themeColor="text1"/>
          <w:sz w:val="28"/>
          <w:szCs w:val="28"/>
          <w:highlight w:val="none"/>
          <w:u w:val="single"/>
          <w:lang w:val="en-US" w:eastAsia="zh-CN"/>
          <w14:textFill>
            <w14:solidFill>
              <w14:schemeClr w14:val="tx1"/>
            </w14:solidFill>
          </w14:textFill>
        </w:rPr>
        <w:t>17:00</w:t>
      </w:r>
      <w:r>
        <w:rPr>
          <w:rFonts w:hint="eastAsia" w:ascii="仿宋" w:hAnsi="仿宋" w:eastAsia="仿宋" w:cs="宋体"/>
          <w:color w:val="000000" w:themeColor="text1"/>
          <w:sz w:val="28"/>
          <w:szCs w:val="28"/>
          <w:highlight w:val="none"/>
          <w14:textFill>
            <w14:solidFill>
              <w14:schemeClr w14:val="tx1"/>
            </w14:solidFill>
          </w14:textFill>
        </w:rPr>
        <w:t>（北京时间，</w:t>
      </w:r>
      <w:r>
        <w:rPr>
          <w:rFonts w:ascii="仿宋" w:hAnsi="仿宋" w:eastAsia="仿宋" w:cs="宋体"/>
          <w:color w:val="000000" w:themeColor="text1"/>
          <w:sz w:val="28"/>
          <w:szCs w:val="28"/>
          <w:highlight w:val="none"/>
          <w14:textFill>
            <w14:solidFill>
              <w14:schemeClr w14:val="tx1"/>
            </w14:solidFill>
          </w14:textFill>
        </w:rPr>
        <w:t>法定节假日</w:t>
      </w:r>
      <w:r>
        <w:rPr>
          <w:rFonts w:hint="eastAsia" w:ascii="仿宋" w:hAnsi="仿宋" w:eastAsia="仿宋" w:cs="宋体"/>
          <w:color w:val="000000" w:themeColor="text1"/>
          <w:sz w:val="28"/>
          <w:szCs w:val="28"/>
          <w:highlight w:val="none"/>
          <w14:textFill>
            <w14:solidFill>
              <w14:schemeClr w14:val="tx1"/>
            </w14:solidFill>
          </w14:textFill>
        </w:rPr>
        <w:t>除外）</w:t>
      </w:r>
    </w:p>
    <w:p>
      <w:pPr>
        <w:spacing w:line="360" w:lineRule="auto"/>
        <w:ind w:firstLine="540"/>
        <w:rPr>
          <w:rFonts w:ascii="仿宋" w:hAnsi="仿宋" w:eastAsia="仿宋" w:cs="宋体"/>
          <w:color w:val="000000" w:themeColor="text1"/>
          <w:sz w:val="28"/>
          <w:szCs w:val="28"/>
          <w:highlight w:val="none"/>
          <w:u w:val="singl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地点：成都市高新区天府大道1700号新世纪环球中心E3门栋6楼2-1-611-615</w:t>
      </w:r>
      <w:r>
        <w:rPr>
          <w:rFonts w:hint="eastAsia" w:ascii="仿宋" w:hAnsi="仿宋" w:eastAsia="仿宋" w:cs="宋体"/>
          <w:color w:val="000000" w:themeColor="text1"/>
          <w:sz w:val="28"/>
          <w:szCs w:val="28"/>
          <w:highlight w:val="none"/>
          <w:lang w:val="zh-CN"/>
          <w14:textFill>
            <w14:solidFill>
              <w14:schemeClr w14:val="tx1"/>
            </w14:solidFill>
          </w14:textFill>
        </w:rPr>
        <w:t>四川中意招标有限公司</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方式：</w:t>
      </w:r>
      <w:r>
        <w:rPr>
          <w:rFonts w:hint="eastAsia" w:ascii="仿宋" w:hAnsi="仿宋" w:eastAsia="仿宋" w:cs="宋体"/>
          <w:color w:val="000000" w:themeColor="text1"/>
          <w:sz w:val="28"/>
          <w:szCs w:val="28"/>
          <w:highlight w:val="none"/>
          <w:lang w:val="zh-CN"/>
          <w14:textFill>
            <w14:solidFill>
              <w14:schemeClr w14:val="tx1"/>
            </w14:solidFill>
          </w14:textFill>
        </w:rPr>
        <w:t>请供应商通过以下流程进行招标文件购买（此账号仅限报名费用打款）：</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1、供应商将本公司介绍信（介绍信务必填写购买项目名称及包号）（加盖公章）、经办人身份证复印件（加盖公章）、经办人联系电话、经办人邮箱须在文件售卖截止前发送至四川中意招标有限公司邮箱s.c.zyzb@163.com，邮件名称格式为：项目编号-包号-公司全称（报名）；报名联系电话：028-87050033-0；</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供应商购买采购文件时须按照以上邮件格式发送邮件并如实认真填写项目信息及供应商信息；若因供应商提供的错误信息，对其参与招标事宜造成影响的，由供应商自行承担所有责任。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收款单位：四川中意招标有限公司</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开户行：中国民生银行股份有限公司成都分行营业部</w:t>
      </w:r>
    </w:p>
    <w:p>
      <w:pPr>
        <w:spacing w:line="360" w:lineRule="auto"/>
        <w:ind w:firstLine="540"/>
        <w:rPr>
          <w:rFonts w:hint="eastAsia"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银行账号：696637422</w:t>
      </w:r>
    </w:p>
    <w:p>
      <w:pPr>
        <w:spacing w:line="360" w:lineRule="auto"/>
        <w:ind w:firstLine="540"/>
        <w:rPr>
          <w:rFonts w:ascii="仿宋" w:hAnsi="仿宋" w:eastAsia="仿宋" w:cs="宋体"/>
          <w:color w:val="000000" w:themeColor="text1"/>
          <w:sz w:val="28"/>
          <w:szCs w:val="28"/>
          <w:highlight w:val="none"/>
          <w:u w:val="single"/>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3、待公司确认报名资料及报名费用无误后，将招标文件发送至对应供应商的经办人邮箱。</w:t>
      </w:r>
    </w:p>
    <w:p>
      <w:pPr>
        <w:spacing w:line="360" w:lineRule="auto"/>
        <w:ind w:firstLine="540"/>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售价：</w:t>
      </w:r>
      <w:r>
        <w:rPr>
          <w:rFonts w:hint="eastAsia" w:ascii="仿宋" w:hAnsi="仿宋" w:eastAsia="仿宋" w:cs="宋体"/>
          <w:color w:val="000000" w:themeColor="text1"/>
          <w:sz w:val="28"/>
          <w:szCs w:val="28"/>
          <w:highlight w:val="none"/>
          <w:lang w:val="zh-CN"/>
          <w14:textFill>
            <w14:solidFill>
              <w14:schemeClr w14:val="tx1"/>
            </w14:solidFill>
          </w14:textFill>
        </w:rPr>
        <w:t>人民币</w:t>
      </w:r>
      <w:r>
        <w:rPr>
          <w:rFonts w:hint="eastAsia" w:ascii="仿宋" w:hAnsi="仿宋" w:eastAsia="仿宋" w:cs="宋体"/>
          <w:color w:val="000000" w:themeColor="text1"/>
          <w:sz w:val="28"/>
          <w:szCs w:val="28"/>
          <w:highlight w:val="none"/>
          <w14:textFill>
            <w14:solidFill>
              <w14:schemeClr w14:val="tx1"/>
            </w14:solidFill>
          </w14:textFill>
        </w:rPr>
        <w:t>150</w:t>
      </w:r>
      <w:r>
        <w:rPr>
          <w:rFonts w:hint="eastAsia" w:ascii="仿宋" w:hAnsi="仿宋" w:eastAsia="仿宋" w:cs="宋体"/>
          <w:color w:val="000000" w:themeColor="text1"/>
          <w:sz w:val="28"/>
          <w:szCs w:val="28"/>
          <w:highlight w:val="none"/>
          <w:lang w:val="zh-CN"/>
          <w14:textFill>
            <w14:solidFill>
              <w14:schemeClr w14:val="tx1"/>
            </w14:solidFill>
          </w14:textFill>
        </w:rPr>
        <w:t>元/份（招标文件售后不退, 投标资格不能转让）</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15" w:name="_Toc28359005"/>
      <w:bookmarkStart w:id="16" w:name="_Toc28359082"/>
      <w:bookmarkStart w:id="17" w:name="_Toc35393793"/>
      <w:bookmarkStart w:id="18" w:name="_Toc35393624"/>
      <w:r>
        <w:rPr>
          <w:rFonts w:hint="eastAsia" w:ascii="黑体" w:hAnsi="黑体" w:cs="宋体"/>
          <w:b w:val="0"/>
          <w:color w:val="000000" w:themeColor="text1"/>
          <w:sz w:val="28"/>
          <w:szCs w:val="28"/>
          <w:highlight w:val="none"/>
          <w14:textFill>
            <w14:solidFill>
              <w14:schemeClr w14:val="tx1"/>
            </w14:solidFill>
          </w14:textFill>
        </w:rPr>
        <w:t>四、提交投标文件</w:t>
      </w:r>
      <w:bookmarkEnd w:id="15"/>
      <w:bookmarkEnd w:id="16"/>
      <w:r>
        <w:rPr>
          <w:rFonts w:hint="eastAsia" w:ascii="黑体" w:hAnsi="黑体" w:cs="宋体"/>
          <w:b w:val="0"/>
          <w:color w:val="000000" w:themeColor="text1"/>
          <w:sz w:val="28"/>
          <w:szCs w:val="28"/>
          <w:highlight w:val="none"/>
          <w14:textFill>
            <w14:solidFill>
              <w14:schemeClr w14:val="tx1"/>
            </w14:solidFill>
          </w14:textFill>
        </w:rPr>
        <w:t>截止时间、开标时间和地点</w:t>
      </w:r>
      <w:bookmarkEnd w:id="17"/>
      <w:bookmarkEnd w:id="18"/>
    </w:p>
    <w:p>
      <w:pPr>
        <w:ind w:firstLine="560" w:firstLineChars="200"/>
        <w:rPr>
          <w:rFonts w:ascii="仿宋" w:hAnsi="仿宋" w:eastAsia="仿宋"/>
          <w:bCs/>
          <w:color w:val="000000" w:themeColor="text1"/>
          <w:sz w:val="28"/>
          <w:szCs w:val="28"/>
          <w:highlight w:val="none"/>
          <w:u w:val="single"/>
          <w14:textFill>
            <w14:solidFill>
              <w14:schemeClr w14:val="tx1"/>
            </w14:solidFill>
          </w14:textFill>
        </w:rPr>
      </w:pPr>
      <w:r>
        <w:rPr>
          <w:rFonts w:hint="eastAsia" w:ascii="仿宋" w:hAnsi="仿宋" w:eastAsia="仿宋"/>
          <w:bCs/>
          <w:color w:val="000000" w:themeColor="text1"/>
          <w:sz w:val="28"/>
          <w:szCs w:val="28"/>
          <w:highlight w:val="none"/>
          <w:u w:val="single"/>
          <w14:textFill>
            <w14:solidFill>
              <w14:schemeClr w14:val="tx1"/>
            </w14:solidFill>
          </w14:textFill>
        </w:rPr>
        <w:t xml:space="preserve">  </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2021</w:t>
      </w:r>
      <w:r>
        <w:rPr>
          <w:rFonts w:hint="eastAsia" w:ascii="仿宋" w:hAnsi="仿宋" w:eastAsia="仿宋"/>
          <w:bCs/>
          <w:color w:val="000000" w:themeColor="text1"/>
          <w:sz w:val="28"/>
          <w:szCs w:val="28"/>
          <w:highlight w:val="none"/>
          <w:u w:val="single"/>
          <w14:textFill>
            <w14:solidFill>
              <w14:schemeClr w14:val="tx1"/>
            </w14:solidFill>
          </w14:textFill>
        </w:rPr>
        <w:t>年</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bCs/>
          <w:color w:val="000000" w:themeColor="text1"/>
          <w:sz w:val="28"/>
          <w:szCs w:val="28"/>
          <w:highlight w:val="none"/>
          <w:u w:val="single"/>
          <w14:textFill>
            <w14:solidFill>
              <w14:schemeClr w14:val="tx1"/>
            </w14:solidFill>
          </w14:textFill>
        </w:rPr>
        <w:t>月</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bCs/>
          <w:color w:val="000000" w:themeColor="text1"/>
          <w:sz w:val="28"/>
          <w:szCs w:val="28"/>
          <w:highlight w:val="none"/>
          <w:u w:val="single"/>
          <w14:textFill>
            <w14:solidFill>
              <w14:schemeClr w14:val="tx1"/>
            </w14:solidFill>
          </w14:textFill>
        </w:rPr>
        <w:t>日</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bCs/>
          <w:color w:val="000000" w:themeColor="text1"/>
          <w:sz w:val="28"/>
          <w:szCs w:val="28"/>
          <w:highlight w:val="none"/>
          <w:u w:val="single"/>
          <w14:textFill>
            <w14:solidFill>
              <w14:schemeClr w14:val="tx1"/>
            </w14:solidFill>
          </w14:textFill>
        </w:rPr>
        <w:t>点</w:t>
      </w:r>
      <w:r>
        <w:rPr>
          <w:rFonts w:hint="eastAsia" w:ascii="仿宋" w:hAnsi="仿宋" w:eastAsia="仿宋"/>
          <w:bCs/>
          <w:color w:val="000000" w:themeColor="text1"/>
          <w:sz w:val="28"/>
          <w:szCs w:val="28"/>
          <w:highlight w:val="none"/>
          <w:u w:val="single"/>
          <w:lang w:val="en-US" w:eastAsia="zh-CN"/>
          <w14:textFill>
            <w14:solidFill>
              <w14:schemeClr w14:val="tx1"/>
            </w14:solidFill>
          </w14:textFill>
        </w:rPr>
        <w:t>00</w:t>
      </w:r>
      <w:r>
        <w:rPr>
          <w:rFonts w:hint="eastAsia" w:ascii="仿宋" w:hAnsi="仿宋" w:eastAsia="仿宋"/>
          <w:bCs/>
          <w:color w:val="000000" w:themeColor="text1"/>
          <w:sz w:val="28"/>
          <w:szCs w:val="28"/>
          <w:highlight w:val="none"/>
          <w:u w:val="single"/>
          <w14:textFill>
            <w14:solidFill>
              <w14:schemeClr w14:val="tx1"/>
            </w14:solidFill>
          </w14:textFill>
        </w:rPr>
        <w:t>分</w:t>
      </w:r>
      <w:r>
        <w:rPr>
          <w:rFonts w:hint="eastAsia" w:ascii="仿宋" w:hAnsi="仿宋" w:eastAsia="仿宋"/>
          <w:bCs/>
          <w:color w:val="000000" w:themeColor="text1"/>
          <w:sz w:val="28"/>
          <w:szCs w:val="28"/>
          <w:highlight w:val="none"/>
          <w14:textFill>
            <w14:solidFill>
              <w14:schemeClr w14:val="tx1"/>
            </w14:solidFill>
          </w14:textFill>
        </w:rPr>
        <w:t>（北京时间）</w:t>
      </w:r>
      <w:r>
        <w:rPr>
          <w:rFonts w:hint="eastAsia" w:ascii="仿宋" w:hAnsi="仿宋" w:eastAsia="仿宋" w:cs="宋体"/>
          <w:iCs/>
          <w:color w:val="000000" w:themeColor="text1"/>
          <w:sz w:val="28"/>
          <w:szCs w:val="28"/>
          <w:highlight w:val="none"/>
          <w:u w:val="single"/>
          <w14:textFill>
            <w14:solidFill>
              <w14:schemeClr w14:val="tx1"/>
            </w14:solidFill>
          </w14:textFill>
        </w:rPr>
        <w:t>（</w:t>
      </w:r>
      <w:r>
        <w:rPr>
          <w:rFonts w:hint="eastAsia" w:ascii="仿宋" w:hAnsi="仿宋" w:eastAsia="仿宋" w:cs="宋体"/>
          <w:i/>
          <w:color w:val="000000" w:themeColor="text1"/>
          <w:sz w:val="28"/>
          <w:szCs w:val="28"/>
          <w:highlight w:val="none"/>
          <w:u w:val="single"/>
          <w14:textFill>
            <w14:solidFill>
              <w14:schemeClr w14:val="tx1"/>
            </w14:solidFill>
          </w14:textFill>
        </w:rPr>
        <w:t>自招标文件开始发出之日起至投标人提交投标文件截止之日止，不得少于20日</w:t>
      </w:r>
      <w:r>
        <w:rPr>
          <w:rFonts w:hint="eastAsia" w:ascii="仿宋" w:hAnsi="仿宋" w:eastAsia="仿宋" w:cs="宋体"/>
          <w:iCs/>
          <w:color w:val="000000" w:themeColor="text1"/>
          <w:sz w:val="28"/>
          <w:szCs w:val="28"/>
          <w:highlight w:val="none"/>
          <w:u w:val="single"/>
          <w14:textFill>
            <w14:solidFill>
              <w14:schemeClr w14:val="tx1"/>
            </w14:solidFill>
          </w14:textFill>
        </w:rPr>
        <w:t>）</w:t>
      </w:r>
    </w:p>
    <w:p>
      <w:pPr>
        <w:ind w:firstLine="560" w:firstLineChars="200"/>
        <w:rPr>
          <w:rFonts w:hint="eastAsia" w:ascii="仿宋" w:hAnsi="仿宋" w:eastAsia="仿宋"/>
          <w:bCs/>
          <w:color w:val="000000" w:themeColor="text1"/>
          <w:sz w:val="28"/>
          <w:szCs w:val="28"/>
          <w:highlight w:val="none"/>
          <w:u w:val="singl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地点：成都市高新区天府大道1700号新世纪环球中心E3门栋6楼2-1-611-615四川中意招标有限公司</w:t>
      </w:r>
      <w:r>
        <w:rPr>
          <w:rFonts w:hint="eastAsia" w:ascii="仿宋" w:hAnsi="仿宋" w:eastAsia="仿宋"/>
          <w:color w:val="000000" w:themeColor="text1"/>
          <w:sz w:val="28"/>
          <w:szCs w:val="28"/>
          <w:highlight w:val="none"/>
          <w:lang w:eastAsia="zh-CN"/>
          <w14:textFill>
            <w14:solidFill>
              <w14:schemeClr w14:val="tx1"/>
            </w14:solidFill>
          </w14:textFill>
        </w:rPr>
        <w:t>会议室</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19" w:name="_Toc35393794"/>
      <w:bookmarkStart w:id="20" w:name="_Toc35393625"/>
      <w:bookmarkStart w:id="21" w:name="_Toc28359084"/>
      <w:bookmarkStart w:id="22" w:name="_Toc28359007"/>
      <w:r>
        <w:rPr>
          <w:rFonts w:hint="eastAsia" w:ascii="黑体" w:hAnsi="黑体" w:cs="宋体"/>
          <w:b w:val="0"/>
          <w:color w:val="000000" w:themeColor="text1"/>
          <w:sz w:val="28"/>
          <w:szCs w:val="28"/>
          <w:highlight w:val="none"/>
          <w14:textFill>
            <w14:solidFill>
              <w14:schemeClr w14:val="tx1"/>
            </w14:solidFill>
          </w14:textFill>
        </w:rPr>
        <w:t>五、公告期限</w:t>
      </w:r>
      <w:bookmarkEnd w:id="19"/>
      <w:bookmarkEnd w:id="20"/>
      <w:bookmarkEnd w:id="21"/>
      <w:bookmarkEnd w:id="22"/>
    </w:p>
    <w:p>
      <w:pPr>
        <w:ind w:firstLine="560" w:firstLineChars="20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自本公告发布之日起5个工作日。</w:t>
      </w: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23" w:name="_Toc35393795"/>
      <w:bookmarkStart w:id="24" w:name="_Toc35393626"/>
      <w:r>
        <w:rPr>
          <w:rFonts w:hint="eastAsia" w:ascii="黑体" w:hAnsi="黑体" w:cs="宋体"/>
          <w:b w:val="0"/>
          <w:color w:val="000000" w:themeColor="text1"/>
          <w:sz w:val="28"/>
          <w:szCs w:val="28"/>
          <w:highlight w:val="none"/>
          <w14:textFill>
            <w14:solidFill>
              <w14:schemeClr w14:val="tx1"/>
            </w14:solidFill>
          </w14:textFill>
        </w:rPr>
        <w:t>六、其他补充事宜</w:t>
      </w:r>
      <w:bookmarkEnd w:id="23"/>
      <w:bookmarkEnd w:id="24"/>
    </w:p>
    <w:p>
      <w:pPr>
        <w:pStyle w:val="16"/>
        <w:ind w:left="495" w:firstLine="0" w:firstLineChars="0"/>
        <w:rPr>
          <w:color w:val="000000" w:themeColor="text1"/>
          <w:sz w:val="28"/>
          <w:szCs w:val="28"/>
          <w:highlight w:val="none"/>
          <w14:textFill>
            <w14:solidFill>
              <w14:schemeClr w14:val="tx1"/>
            </w14:solidFill>
          </w14:textFill>
        </w:rPr>
      </w:pPr>
    </w:p>
    <w:p>
      <w:pPr>
        <w:pStyle w:val="5"/>
        <w:spacing w:line="360" w:lineRule="auto"/>
        <w:rPr>
          <w:rFonts w:ascii="黑体" w:hAnsi="黑体" w:cs="宋体"/>
          <w:b w:val="0"/>
          <w:color w:val="000000" w:themeColor="text1"/>
          <w:sz w:val="28"/>
          <w:szCs w:val="28"/>
          <w:highlight w:val="none"/>
          <w14:textFill>
            <w14:solidFill>
              <w14:schemeClr w14:val="tx1"/>
            </w14:solidFill>
          </w14:textFill>
        </w:rPr>
      </w:pPr>
      <w:bookmarkStart w:id="25" w:name="_Toc28359085"/>
      <w:bookmarkStart w:id="26" w:name="_Toc28359008"/>
      <w:bookmarkStart w:id="27" w:name="_Toc35393796"/>
      <w:bookmarkStart w:id="28" w:name="_Toc35393627"/>
      <w:r>
        <w:rPr>
          <w:rFonts w:hint="eastAsia" w:ascii="黑体" w:hAnsi="黑体" w:cs="宋体"/>
          <w:b w:val="0"/>
          <w:color w:val="000000" w:themeColor="text1"/>
          <w:sz w:val="28"/>
          <w:szCs w:val="28"/>
          <w:highlight w:val="none"/>
          <w14:textFill>
            <w14:solidFill>
              <w14:schemeClr w14:val="tx1"/>
            </w14:solidFill>
          </w14:textFill>
        </w:rPr>
        <w:t>七、对本次招标提出询问，请按</w:t>
      </w:r>
      <w:r>
        <w:rPr>
          <w:rFonts w:ascii="黑体" w:hAnsi="黑体" w:cs="宋体"/>
          <w:b w:val="0"/>
          <w:color w:val="000000" w:themeColor="text1"/>
          <w:sz w:val="28"/>
          <w:szCs w:val="28"/>
          <w:highlight w:val="none"/>
          <w14:textFill>
            <w14:solidFill>
              <w14:schemeClr w14:val="tx1"/>
            </w14:solidFill>
          </w14:textFill>
        </w:rPr>
        <w:t>以下方式</w:t>
      </w:r>
      <w:r>
        <w:rPr>
          <w:rFonts w:hint="eastAsia" w:ascii="黑体" w:hAnsi="黑体" w:cs="宋体"/>
          <w:b w:val="0"/>
          <w:color w:val="000000" w:themeColor="text1"/>
          <w:sz w:val="28"/>
          <w:szCs w:val="28"/>
          <w:highlight w:val="none"/>
          <w14:textFill>
            <w14:solidFill>
              <w14:schemeClr w14:val="tx1"/>
            </w14:solidFill>
          </w14:textFill>
        </w:rPr>
        <w:t>联系。</w:t>
      </w:r>
      <w:bookmarkEnd w:id="25"/>
      <w:bookmarkEnd w:id="26"/>
      <w:bookmarkEnd w:id="27"/>
      <w:bookmarkEnd w:id="28"/>
    </w:p>
    <w:p>
      <w:pPr>
        <w:widowControl/>
        <w:jc w:val="left"/>
        <w:rPr>
          <w:rFonts w:ascii="仿宋_GB2312" w:eastAsia="仿宋_GB2312"/>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　　　1.采购人信息</w:t>
      </w:r>
    </w:p>
    <w:p>
      <w:pPr>
        <w:spacing w:line="360" w:lineRule="auto"/>
        <w:ind w:left="1129" w:leftChars="371" w:hanging="350" w:hangingChars="1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名 称：</w:t>
      </w:r>
      <w:r>
        <w:rPr>
          <w:rFonts w:hint="eastAsia" w:ascii="仿宋" w:hAnsi="仿宋" w:eastAsia="仿宋"/>
          <w:color w:val="000000" w:themeColor="text1"/>
          <w:sz w:val="28"/>
          <w:szCs w:val="28"/>
          <w:highlight w:val="none"/>
          <w:u w:val="single"/>
          <w14:textFill>
            <w14:solidFill>
              <w14:schemeClr w14:val="tx1"/>
            </w14:solidFill>
          </w14:textFill>
        </w:rPr>
        <w:t>　成都体育学院　　　　　　　　　　　</w:t>
      </w:r>
    </w:p>
    <w:p>
      <w:pPr>
        <w:spacing w:line="360" w:lineRule="auto"/>
        <w:ind w:left="1129" w:leftChars="371" w:hanging="350" w:hangingChars="1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hint="eastAsia" w:ascii="仿宋" w:hAnsi="仿宋" w:eastAsia="仿宋"/>
          <w:color w:val="000000" w:themeColor="text1"/>
          <w:sz w:val="28"/>
          <w:szCs w:val="28"/>
          <w:highlight w:val="none"/>
          <w:u w:val="single"/>
          <w14:textFill>
            <w14:solidFill>
              <w14:schemeClr w14:val="tx1"/>
            </w14:solidFill>
          </w14:textFill>
        </w:rPr>
        <w:t>　四川省成都市武侯区体院路2号　　　　　　　　　　　</w:t>
      </w:r>
    </w:p>
    <w:p>
      <w:pPr>
        <w:spacing w:line="360" w:lineRule="auto"/>
        <w:ind w:left="1129" w:leftChars="371" w:hanging="350" w:hangingChars="125"/>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联系方式：</w:t>
      </w:r>
      <w:r>
        <w:rPr>
          <w:rFonts w:hint="eastAsia" w:ascii="仿宋" w:hAnsi="仿宋" w:eastAsia="仿宋"/>
          <w:color w:val="000000" w:themeColor="text1"/>
          <w:sz w:val="28"/>
          <w:szCs w:val="28"/>
          <w:highlight w:val="none"/>
          <w:u w:val="single"/>
          <w14:textFill>
            <w14:solidFill>
              <w14:schemeClr w14:val="tx1"/>
            </w14:solidFill>
          </w14:textFill>
        </w:rPr>
        <w:t>　刘老师</w:t>
      </w:r>
      <w:r>
        <w:rPr>
          <w:rFonts w:hint="eastAsia" w:ascii="仿宋" w:hAnsi="仿宋" w:eastAsia="仿宋"/>
          <w:color w:val="000000" w:themeColor="text1"/>
          <w:sz w:val="28"/>
          <w:szCs w:val="28"/>
          <w:highlight w:val="none"/>
          <w:u w:val="single"/>
          <w:lang w:eastAsia="zh-CN"/>
          <w14:textFill>
            <w14:solidFill>
              <w14:schemeClr w14:val="tx1"/>
            </w14:solidFill>
          </w14:textFill>
        </w:rPr>
        <w:t>：028-85061297</w:t>
      </w:r>
      <w:r>
        <w:rPr>
          <w:rFonts w:hint="eastAsia" w:ascii="仿宋" w:hAnsi="仿宋" w:eastAsia="仿宋"/>
          <w:color w:val="000000" w:themeColor="text1"/>
          <w:sz w:val="28"/>
          <w:szCs w:val="28"/>
          <w:highlight w:val="none"/>
          <w:u w:val="single"/>
          <w14:textFill>
            <w14:solidFill>
              <w14:schemeClr w14:val="tx1"/>
            </w14:solidFill>
          </w14:textFill>
        </w:rPr>
        <w:t xml:space="preserve">　　　　　　　　　　 </w:t>
      </w:r>
      <w:bookmarkStart w:id="29" w:name="_Toc28359009"/>
      <w:bookmarkStart w:id="30" w:name="_Toc28359086"/>
    </w:p>
    <w:p>
      <w:pPr>
        <w:spacing w:line="360" w:lineRule="auto"/>
        <w:ind w:left="1129" w:leftChars="371" w:hanging="350" w:hangingChars="1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2.采购代理机构信息（如有）</w:t>
      </w:r>
      <w:bookmarkEnd w:id="29"/>
      <w:bookmarkEnd w:id="30"/>
    </w:p>
    <w:p>
      <w:pPr>
        <w:spacing w:line="360" w:lineRule="auto"/>
        <w:ind w:firstLine="840" w:firstLineChars="300"/>
        <w:rPr>
          <w:rFonts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名    称：</w:t>
      </w:r>
      <w:r>
        <w:rPr>
          <w:rFonts w:hint="eastAsia" w:ascii="仿宋" w:hAnsi="仿宋" w:eastAsia="仿宋" w:cs="Times New Roman"/>
          <w:color w:val="000000" w:themeColor="text1"/>
          <w:sz w:val="28"/>
          <w:szCs w:val="28"/>
          <w:highlight w:val="none"/>
          <w:u w:val="single"/>
          <w14:textFill>
            <w14:solidFill>
              <w14:schemeClr w14:val="tx1"/>
            </w14:solidFill>
          </w14:textFill>
        </w:rPr>
        <w:t>　四川中意招标有限公司　　　　　　　　　　　</w:t>
      </w:r>
    </w:p>
    <w:p>
      <w:pPr>
        <w:spacing w:line="360" w:lineRule="auto"/>
        <w:ind w:left="838" w:leftChars="399" w:firstLine="0" w:firstLineChars="0"/>
        <w:rPr>
          <w:rFonts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地　　址：</w:t>
      </w:r>
      <w:r>
        <w:rPr>
          <w:rFonts w:hint="eastAsia" w:ascii="仿宋" w:hAnsi="仿宋" w:eastAsia="仿宋" w:cs="Times New Roman"/>
          <w:color w:val="000000" w:themeColor="text1"/>
          <w:sz w:val="28"/>
          <w:szCs w:val="28"/>
          <w:highlight w:val="none"/>
          <w:u w:val="single"/>
          <w14:textFill>
            <w14:solidFill>
              <w14:schemeClr w14:val="tx1"/>
            </w14:solidFill>
          </w14:textFill>
        </w:rPr>
        <w:t>　四川省成都市高新区天府大道1700号新世纪环球中心E3门栋6楼2-1-611-615四川中意招标有限公司　　　　　　　　　　　</w:t>
      </w:r>
    </w:p>
    <w:p>
      <w:pPr>
        <w:spacing w:line="360" w:lineRule="auto"/>
        <w:ind w:firstLine="840" w:firstLineChars="300"/>
        <w:rPr>
          <w:rFonts w:ascii="仿宋" w:hAnsi="仿宋" w:eastAsia="仿宋" w:cs="Times New Roman"/>
          <w:color w:val="000000" w:themeColor="text1"/>
          <w:sz w:val="28"/>
          <w:szCs w:val="28"/>
          <w:highlight w:val="none"/>
          <w:u w:val="singl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联系方式：</w:t>
      </w:r>
      <w:r>
        <w:rPr>
          <w:rFonts w:hint="eastAsia" w:ascii="仿宋" w:hAnsi="仿宋" w:eastAsia="仿宋" w:cs="Times New Roman"/>
          <w:color w:val="000000" w:themeColor="text1"/>
          <w:sz w:val="28"/>
          <w:szCs w:val="28"/>
          <w:highlight w:val="none"/>
          <w:u w:val="single"/>
          <w14:textFill>
            <w14:solidFill>
              <w14:schemeClr w14:val="tx1"/>
            </w14:solidFill>
          </w14:textFill>
        </w:rPr>
        <w:t>　028-87050033　　　　　　　　　　　</w:t>
      </w:r>
    </w:p>
    <w:p>
      <w:pPr>
        <w:pStyle w:val="5"/>
        <w:spacing w:line="360" w:lineRule="auto"/>
        <w:ind w:firstLine="840" w:firstLineChars="300"/>
        <w:rPr>
          <w:rFonts w:ascii="仿宋" w:hAnsi="仿宋" w:eastAsia="仿宋" w:cs="宋体"/>
          <w:b w:val="0"/>
          <w:color w:val="000000" w:themeColor="text1"/>
          <w:sz w:val="28"/>
          <w:szCs w:val="28"/>
          <w:highlight w:val="none"/>
          <w14:textFill>
            <w14:solidFill>
              <w14:schemeClr w14:val="tx1"/>
            </w14:solidFill>
          </w14:textFill>
        </w:rPr>
      </w:pPr>
      <w:bookmarkStart w:id="31" w:name="_Toc28359021"/>
      <w:bookmarkStart w:id="32" w:name="_Toc35393808"/>
      <w:bookmarkStart w:id="33" w:name="_Toc35393639"/>
      <w:bookmarkStart w:id="34" w:name="_Toc28359098"/>
      <w:r>
        <w:rPr>
          <w:rFonts w:hint="eastAsia" w:ascii="仿宋" w:hAnsi="仿宋" w:eastAsia="仿宋" w:cs="宋体"/>
          <w:b w:val="0"/>
          <w:color w:val="000000" w:themeColor="text1"/>
          <w:sz w:val="28"/>
          <w:szCs w:val="28"/>
          <w:highlight w:val="none"/>
          <w14:textFill>
            <w14:solidFill>
              <w14:schemeClr w14:val="tx1"/>
            </w14:solidFill>
          </w14:textFill>
        </w:rPr>
        <w:t>3.项目联系</w:t>
      </w:r>
      <w:r>
        <w:rPr>
          <w:rFonts w:ascii="仿宋" w:hAnsi="仿宋" w:eastAsia="仿宋" w:cs="宋体"/>
          <w:b w:val="0"/>
          <w:color w:val="000000" w:themeColor="text1"/>
          <w:sz w:val="28"/>
          <w:szCs w:val="28"/>
          <w:highlight w:val="none"/>
          <w14:textFill>
            <w14:solidFill>
              <w14:schemeClr w14:val="tx1"/>
            </w14:solidFill>
          </w14:textFill>
        </w:rPr>
        <w:t>方式</w:t>
      </w:r>
      <w:bookmarkEnd w:id="31"/>
      <w:bookmarkEnd w:id="32"/>
      <w:bookmarkEnd w:id="33"/>
      <w:bookmarkEnd w:id="34"/>
    </w:p>
    <w:p>
      <w:pPr>
        <w:pStyle w:val="10"/>
        <w:spacing w:line="360" w:lineRule="auto"/>
        <w:ind w:firstLine="840" w:firstLineChars="3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项目联系人：</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赵龙   </w:t>
      </w:r>
    </w:p>
    <w:p>
      <w:pPr>
        <w:spacing w:line="360" w:lineRule="auto"/>
        <w:ind w:firstLine="840" w:firstLineChars="300"/>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电　　 话：</w:t>
      </w:r>
      <w:r>
        <w:rPr>
          <w:rFonts w:hint="eastAsia" w:ascii="仿宋" w:hAnsi="仿宋" w:eastAsia="仿宋" w:cs="Times New Roman"/>
          <w:color w:val="000000" w:themeColor="text1"/>
          <w:sz w:val="28"/>
          <w:szCs w:val="28"/>
          <w:highlight w:val="none"/>
          <w:u w:val="single"/>
          <w14:textFill>
            <w14:solidFill>
              <w14:schemeClr w14:val="tx1"/>
            </w14:solidFill>
          </w14:textFill>
        </w:rPr>
        <w:t>　028-87050033转2040　　　　　　　</w:t>
      </w:r>
    </w:p>
    <w:p>
      <w:pPr>
        <w:widowControl/>
        <w:jc w:val="left"/>
        <w:rPr>
          <w:rFonts w:ascii="仿宋" w:hAnsi="仿宋" w:eastAsia="仿宋"/>
          <w:color w:val="000000" w:themeColor="text1"/>
          <w:sz w:val="28"/>
          <w:szCs w:val="28"/>
          <w:highlight w:val="none"/>
          <w14:textFill>
            <w14:solidFill>
              <w14:schemeClr w14:val="tx1"/>
            </w14:solidFill>
          </w14:textFill>
        </w:rPr>
      </w:pPr>
    </w:p>
    <w:p>
      <w:pPr>
        <w:rPr>
          <w:rFonts w:hint="eastAsia"/>
          <w:color w:val="000000" w:themeColor="text1"/>
          <w:highlight w:val="none"/>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hint="eastAsia"/>
          <w:b/>
          <w:bCs/>
          <w:color w:val="000000" w:themeColor="text1"/>
          <w:sz w:val="28"/>
          <w:szCs w:val="28"/>
          <w:highlight w:val="none"/>
          <w:lang w:eastAsia="zh-CN"/>
          <w14:textFill>
            <w14:solidFill>
              <w14:schemeClr w14:val="tx1"/>
            </w14:solidFill>
          </w14:textFill>
        </w:rPr>
      </w:pPr>
      <w:r>
        <w:rPr>
          <w:rFonts w:hint="eastAsia"/>
          <w:b/>
          <w:bCs/>
          <w:color w:val="000000" w:themeColor="text1"/>
          <w:sz w:val="28"/>
          <w:szCs w:val="28"/>
          <w:highlight w:val="none"/>
          <w:lang w:eastAsia="zh-CN"/>
          <w14:textFill>
            <w14:solidFill>
              <w14:schemeClr w14:val="tx1"/>
            </w14:solidFill>
          </w14:textFill>
        </w:rPr>
        <w:t>附件：</w:t>
      </w:r>
    </w:p>
    <w:p>
      <w:pPr>
        <w:spacing w:line="360" w:lineRule="auto"/>
        <w:jc w:val="center"/>
        <w:outlineLvl w:val="1"/>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（一）技术要求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833"/>
        <w:gridCol w:w="1193"/>
        <w:gridCol w:w="1193"/>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包号</w:t>
            </w:r>
          </w:p>
        </w:tc>
        <w:tc>
          <w:tcPr>
            <w:tcW w:w="2833"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设备名称</w:t>
            </w:r>
          </w:p>
        </w:tc>
        <w:tc>
          <w:tcPr>
            <w:tcW w:w="1193"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计量单位</w:t>
            </w:r>
          </w:p>
        </w:tc>
        <w:tc>
          <w:tcPr>
            <w:tcW w:w="1193"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数量</w:t>
            </w:r>
          </w:p>
        </w:tc>
        <w:tc>
          <w:tcPr>
            <w:tcW w:w="1938" w:type="dxa"/>
            <w:vAlign w:val="center"/>
          </w:tcPr>
          <w:p>
            <w:pPr>
              <w:pStyle w:val="2"/>
              <w:jc w:val="center"/>
              <w:rPr>
                <w:rFonts w:hAnsi="宋体" w:cs="宋体"/>
                <w:b/>
                <w:bCs/>
                <w:color w:val="000000" w:themeColor="text1"/>
                <w:sz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彩超超高频浅表探头</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个</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2</w:t>
            </w: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便携式脑电测试系统</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套</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Merge w:val="restart"/>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3</w:t>
            </w: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YC-3电刺激器</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台</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Merge w:val="continue"/>
            <w:vAlign w:val="center"/>
          </w:tcPr>
          <w:p>
            <w:pPr>
              <w:pStyle w:val="2"/>
              <w:jc w:val="center"/>
              <w:rPr>
                <w:rFonts w:ascii="宋体"/>
                <w:color w:val="000000" w:themeColor="text1"/>
                <w:kern w:val="0"/>
                <w:sz w:val="24"/>
                <w:highlight w:val="none"/>
                <w14:textFill>
                  <w14:solidFill>
                    <w14:schemeClr w14:val="tx1"/>
                  </w14:solidFill>
                </w14:textFill>
              </w:rPr>
            </w:pP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离体肌条张力测定配件</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件</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Merge w:val="restart"/>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4</w:t>
            </w: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多通道动物转棒仪</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台</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Merge w:val="continue"/>
            <w:vAlign w:val="center"/>
          </w:tcPr>
          <w:p>
            <w:pPr>
              <w:pStyle w:val="2"/>
              <w:jc w:val="center"/>
              <w:rPr>
                <w:rFonts w:ascii="宋体"/>
                <w:color w:val="000000" w:themeColor="text1"/>
                <w:kern w:val="0"/>
                <w:sz w:val="24"/>
                <w:highlight w:val="none"/>
                <w14:textFill>
                  <w14:solidFill>
                    <w14:schemeClr w14:val="tx1"/>
                  </w14:solidFill>
                </w14:textFill>
              </w:rPr>
            </w:pP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大鼠跑台</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台</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2</w:t>
            </w:r>
          </w:p>
        </w:tc>
        <w:tc>
          <w:tcPr>
            <w:tcW w:w="193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1" w:type="dxa"/>
            <w:vMerge w:val="continue"/>
            <w:vAlign w:val="center"/>
          </w:tcPr>
          <w:p>
            <w:pPr>
              <w:pStyle w:val="2"/>
              <w:jc w:val="center"/>
              <w:rPr>
                <w:rFonts w:ascii="宋体"/>
                <w:color w:val="000000" w:themeColor="text1"/>
                <w:kern w:val="0"/>
                <w:sz w:val="24"/>
                <w:highlight w:val="none"/>
                <w14:textFill>
                  <w14:solidFill>
                    <w14:schemeClr w14:val="tx1"/>
                  </w14:solidFill>
                </w14:textFill>
              </w:rPr>
            </w:pP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动物视频记录分析系统</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套</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tc>
        <w:tc>
          <w:tcPr>
            <w:tcW w:w="1938"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1"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5</w:t>
            </w:r>
          </w:p>
        </w:tc>
        <w:tc>
          <w:tcPr>
            <w:tcW w:w="2833"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手指和手部压力测量系统</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套</w:t>
            </w:r>
          </w:p>
        </w:tc>
        <w:tc>
          <w:tcPr>
            <w:tcW w:w="1193" w:type="dxa"/>
            <w:vAlign w:val="center"/>
          </w:tcPr>
          <w:p>
            <w:pPr>
              <w:pStyle w:val="2"/>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1</w:t>
            </w:r>
          </w:p>
          <w:p>
            <w:pPr>
              <w:rPr>
                <w:color w:val="000000" w:themeColor="text1"/>
                <w:highlight w:val="none"/>
                <w14:textFill>
                  <w14:solidFill>
                    <w14:schemeClr w14:val="tx1"/>
                  </w14:solidFill>
                </w14:textFill>
              </w:rPr>
            </w:pPr>
          </w:p>
        </w:tc>
        <w:tc>
          <w:tcPr>
            <w:tcW w:w="1938" w:type="dxa"/>
            <w:vAlign w:val="center"/>
          </w:tcPr>
          <w:p>
            <w:pPr>
              <w:jc w:val="center"/>
              <w:rPr>
                <w:color w:val="000000" w:themeColor="text1"/>
                <w:sz w:val="24"/>
                <w:szCs w:val="24"/>
                <w:highlight w:val="none"/>
                <w14:textFill>
                  <w14:solidFill>
                    <w14:schemeClr w14:val="tx1"/>
                  </w14:solidFill>
                </w14:textFill>
              </w:rPr>
            </w:pPr>
          </w:p>
        </w:tc>
      </w:tr>
    </w:tbl>
    <w:p>
      <w:pPr>
        <w:pStyle w:val="2"/>
        <w:rPr>
          <w:color w:val="000000" w:themeColor="text1"/>
          <w:highlight w:val="none"/>
          <w14:textFill>
            <w14:solidFill>
              <w14:schemeClr w14:val="tx1"/>
            </w14:solidFill>
          </w14:textFill>
        </w:rPr>
      </w:pPr>
    </w:p>
    <w:p>
      <w:pPr>
        <w:pStyle w:val="3"/>
        <w:ind w:left="680" w:firstLine="482"/>
        <w:rPr>
          <w:color w:val="000000" w:themeColor="text1"/>
          <w:sz w:val="24"/>
          <w:szCs w:val="44"/>
          <w:highlight w:val="none"/>
          <w14:textFill>
            <w14:solidFill>
              <w14:schemeClr w14:val="tx1"/>
            </w14:solidFill>
          </w14:textFill>
        </w:rPr>
      </w:pPr>
      <w:r>
        <w:rPr>
          <w:rFonts w:hint="eastAsia"/>
          <w:color w:val="000000" w:themeColor="text1"/>
          <w:sz w:val="24"/>
          <w:szCs w:val="44"/>
          <w:highlight w:val="none"/>
          <w14:textFill>
            <w14:solidFill>
              <w14:schemeClr w14:val="tx1"/>
            </w14:solidFill>
          </w14:textFill>
        </w:rPr>
        <w:t>技术参数</w:t>
      </w:r>
    </w:p>
    <w:tbl>
      <w:tblPr>
        <w:tblStyle w:val="13"/>
        <w:tblW w:w="9553" w:type="dxa"/>
        <w:jc w:val="center"/>
        <w:tblLayout w:type="fixed"/>
        <w:tblCellMar>
          <w:top w:w="0" w:type="dxa"/>
          <w:left w:w="108" w:type="dxa"/>
          <w:bottom w:w="0" w:type="dxa"/>
          <w:right w:w="108" w:type="dxa"/>
        </w:tblCellMar>
      </w:tblPr>
      <w:tblGrid>
        <w:gridCol w:w="930"/>
        <w:gridCol w:w="1728"/>
        <w:gridCol w:w="929"/>
        <w:gridCol w:w="5966"/>
      </w:tblGrid>
      <w:tr>
        <w:tblPrEx>
          <w:tblCellMar>
            <w:top w:w="0" w:type="dxa"/>
            <w:left w:w="108" w:type="dxa"/>
            <w:bottom w:w="0" w:type="dxa"/>
            <w:right w:w="108" w:type="dxa"/>
          </w:tblCellMar>
        </w:tblPrEx>
        <w:trPr>
          <w:trHeight w:val="600"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序号</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设备名称</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数量</w:t>
            </w:r>
          </w:p>
        </w:tc>
        <w:tc>
          <w:tcPr>
            <w:tcW w:w="59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型号/设备具体参数</w:t>
            </w:r>
          </w:p>
        </w:tc>
      </w:tr>
      <w:tr>
        <w:tblPrEx>
          <w:tblCellMar>
            <w:top w:w="0" w:type="dxa"/>
            <w:left w:w="108" w:type="dxa"/>
            <w:bottom w:w="0" w:type="dxa"/>
            <w:right w:w="108" w:type="dxa"/>
          </w:tblCellMar>
        </w:tblPrEx>
        <w:trPr>
          <w:trHeight w:val="600"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1包</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彩超超高频浅表探头（允许进口）</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1个</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1）类型：宽频线阵探头</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★2）适用机型：</w:t>
            </w:r>
            <w:r>
              <w:rPr>
                <w:rFonts w:hint="eastAsia" w:hAnsi="宋体" w:cs="宋体"/>
                <w:bCs/>
                <w:color w:val="000000" w:themeColor="text1"/>
                <w:sz w:val="24"/>
                <w:szCs w:val="24"/>
                <w:highlight w:val="none"/>
                <w14:textFill>
                  <w14:solidFill>
                    <w14:schemeClr w14:val="tx1"/>
                  </w14:solidFill>
                </w14:textFill>
              </w:rPr>
              <w:tab/>
            </w:r>
            <w:r>
              <w:rPr>
                <w:rFonts w:hint="eastAsia" w:hAnsi="宋体" w:cs="宋体"/>
                <w:bCs/>
                <w:color w:val="000000" w:themeColor="text1"/>
                <w:sz w:val="24"/>
                <w:szCs w:val="24"/>
                <w:highlight w:val="none"/>
                <w14:textFill>
                  <w14:solidFill>
                    <w14:schemeClr w14:val="tx1"/>
                  </w14:solidFill>
                </w14:textFill>
              </w:rPr>
              <w:t>CX50彩超</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3）适用临床应用：肌肉骨骼、浅表组织</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4）频率范围（MHz）：7-15</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5）标称中心  频率（MHz）：8.0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6）标称频率（MHz）：8.0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7）探测频率（mm）：≥50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8）侧向（横向）分辨率（mm）</w:t>
            </w:r>
            <w:r>
              <w:rPr>
                <w:rFonts w:hint="eastAsia" w:hAnsi="宋体" w:cs="宋体"/>
                <w:bCs/>
                <w:color w:val="000000" w:themeColor="text1"/>
                <w:sz w:val="24"/>
                <w:szCs w:val="24"/>
                <w:highlight w:val="none"/>
                <w14:textFill>
                  <w14:solidFill>
                    <w14:schemeClr w14:val="tx1"/>
                  </w14:solidFill>
                </w14:textFill>
              </w:rPr>
              <w:tab/>
            </w:r>
            <w:r>
              <w:rPr>
                <w:rFonts w:hint="eastAsia" w:hAnsi="宋体" w:cs="宋体"/>
                <w:bCs/>
                <w:color w:val="000000" w:themeColor="text1"/>
                <w:sz w:val="24"/>
                <w:szCs w:val="24"/>
                <w:highlight w:val="none"/>
                <w14:textFill>
                  <w14:solidFill>
                    <w14:schemeClr w14:val="tx1"/>
                  </w14:solidFill>
                </w14:textFill>
              </w:rPr>
              <w:t>：≤2（深度≤40）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轴向（纵向）分辨率（mm)</w:t>
            </w:r>
            <w:r>
              <w:rPr>
                <w:rFonts w:hint="eastAsia" w:hAnsi="宋体" w:cs="宋体"/>
                <w:bCs/>
                <w:color w:val="000000" w:themeColor="text1"/>
                <w:sz w:val="24"/>
                <w:szCs w:val="24"/>
                <w:highlight w:val="none"/>
                <w14:textFill>
                  <w14:solidFill>
                    <w14:schemeClr w14:val="tx1"/>
                  </w14:solidFill>
                </w14:textFill>
              </w:rPr>
              <w:tab/>
            </w:r>
            <w:r>
              <w:rPr>
                <w:rFonts w:hint="eastAsia" w:hAnsi="宋体" w:cs="宋体"/>
                <w:bCs/>
                <w:color w:val="000000" w:themeColor="text1"/>
                <w:sz w:val="24"/>
                <w:szCs w:val="24"/>
                <w:highlight w:val="none"/>
                <w14:textFill>
                  <w14:solidFill>
                    <w14:schemeClr w14:val="tx1"/>
                  </w14:solidFill>
                </w14:textFill>
              </w:rPr>
              <w:t>：≤1（深度≤50）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盲区（mm）</w:t>
            </w:r>
            <w:r>
              <w:rPr>
                <w:rFonts w:hint="eastAsia" w:hAnsi="宋体" w:cs="宋体"/>
                <w:bCs/>
                <w:color w:val="000000" w:themeColor="text1"/>
                <w:sz w:val="24"/>
                <w:szCs w:val="24"/>
                <w:highlight w:val="none"/>
                <w14:textFill>
                  <w14:solidFill>
                    <w14:schemeClr w14:val="tx1"/>
                  </w14:solidFill>
                </w14:textFill>
              </w:rPr>
              <w:tab/>
            </w:r>
            <w:r>
              <w:rPr>
                <w:rFonts w:hint="eastAsia" w:hAnsi="宋体" w:cs="宋体"/>
                <w:bCs/>
                <w:color w:val="000000" w:themeColor="text1"/>
                <w:sz w:val="24"/>
                <w:szCs w:val="24"/>
                <w:highlight w:val="none"/>
                <w14:textFill>
                  <w14:solidFill>
                    <w14:schemeClr w14:val="tx1"/>
                  </w14:solidFill>
                </w14:textFill>
              </w:rPr>
              <w:t>：≤2</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9）几何位置精度（%）：横向≤5；纵向≤5</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10）切片厚度（mm）：＜7</w:t>
            </w:r>
          </w:p>
        </w:tc>
      </w:tr>
      <w:tr>
        <w:tblPrEx>
          <w:tblCellMar>
            <w:top w:w="0" w:type="dxa"/>
            <w:left w:w="108" w:type="dxa"/>
            <w:bottom w:w="0" w:type="dxa"/>
            <w:right w:w="108" w:type="dxa"/>
          </w:tblCellMar>
        </w:tblPrEx>
        <w:trPr>
          <w:trHeight w:val="600"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2包</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便携式脑电测试系统（允许进口）</w:t>
            </w:r>
          </w:p>
        </w:tc>
        <w:tc>
          <w:tcPr>
            <w:tcW w:w="9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Ansi="宋体" w:cs="宋体"/>
                <w:b/>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1套</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主要性能指标：</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一、放大器参数</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*1.每个放大器通道数：≥88，集成至少64通道EEG和24生理通道的一体机。</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*2.全移动、内置锂电池供电，高度便携。</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*3.内置充电锂电池，所有通道同时采集可持续记录5小时以上。</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*4.单个放大器包含电池重量要小于500g。</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5.全频道EEG，DC放大。</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 具有美国FDA 510(k)和欧洲CE认证的IIA类医疗器械。</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7.采样率≥16KHz。</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8.A/D转换：24bit。</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9.TTL 8bit数字信号输入，可以和Eprime、Presentation、psychtoolbox等多种刺激呈现软件兼容。</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10.输入阻抗：＞1G ohm。</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11.输入噪声：&lt; 1.0 uV RMS。</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12.共模抑制比CMRR：＞100dB。</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*13.主动屏蔽技术。</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14.可与移动EEG、EMG、近红外（NIRS）、眼动、视频信息、fMRI（功能核磁共振成像）、MEG（脑磁图）、TMS（经颅磁）等同步整合记录。</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15.提供BNC适配器，方便二次开发。</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二、电极帽：2顶</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1. 64通道Ag/AgCl电极帽 ：1顶。</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*（1）主动屏蔽技术，增加抗噪能力。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*（2）Coolmax材质，佩戴舒适、清洗迅速、快速晾干。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（3）包含适合新生儿到成年人各类大小的型号。</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*（4）可用于一般的EEG/ERPs实验，也可定制TMS、MEG、fMRI兼容款。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*（5）吸盘式电极，防止导电膏串流，确保数据质量。</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  *（6）可根据客户要求定制脑电帽。</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*（7）具有欧洲CE认证。</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 64通道纳米材料干电极帽：1顶（中号）</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*（1）主动屏蔽技术，增加抗噪能力</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（2）无需导电介质，即戴即用。</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*（3）独有的Ag/AgCl涂层设计，提供稳定的EEG信号质量。</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*（4）等距电极分布，可将信号转化为10-20系统电极分布</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（5）人体工学设计，确保每个电极与头皮的基础与舒适性</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*（6）具有欧洲CE认证。</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*（7）针列式设计，保证电极能充分与头皮接触</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三、采集分析软件：1套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1.记录分析软件可以进行一站式EEG/ERP记录参数设置，实时显示电极阻抗，在线记录、离线分析脑电数据与功率谱，EEG/ERPs平均与三维映射。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2.可进行EEG/ERP（事件相关潜电位）/MEG/TMS分析。</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3.时频分析（Wavelet、ERD/ERS、Coherence、Band Power，FFT……）。</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*4.SDK功能，可进行实时数据处理和分析，进行神经反馈。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5.可进行棘波和睡眠波等的EEG/ERPs监测和分析。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6.动态视频分析。</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7.可兼容TMS、MEG、fMRI、NIRS等。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8.溯源分析（多维时空偶极子模型、多维信号分类（MUSIC）、低分辨率断层扫描（LORETA）、sLORETA和swLORETA、皮层成像、EEG与MEG的正演模拟模型）。</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9.MRI头模，自动分割MRI/CT数据，基于边界元法（BEM）的真实头模型，采用标准化的MRI头模型和电极排列方法，可转换为Talairach坐标系统。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*10.EEG/ERP数据批量化处理。</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*11.包含脑-机接口工具（BCI）与神经生物反馈工具（neuro-feedback）。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12.Matlab数据导入/导出功能。</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13.高级脚本COM接口设置。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14.能够读取市面上所有主流放大器（NEUROSCAN、BP、ANT、EGI等）采集的数据格式。</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*15.支持无线同步Mark，实现一对多的脑电系统信号同步。</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四、配套注意集中试验仪：1套</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（1）人机对话界面。</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（2）wince嵌入式系统。</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（3）有线、无线wifi传输数据。</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*（4）内嵌4.3寸触控屏，触摸智能一体机。</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*（5）提供制造商出具的职业健康安全管理体系认证证书复印件，通过GB21746-2008《教学仪器设备安全要求总则》、GB21748-2008《教学仪器设备安全要求仪器和零部件的基本要求》的检测报告复印件。</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五、配套同步装置系统</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1.轻松实现不同同步接口设备的硬件同步，极大地降低了同步信号的延迟。</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*2.能够实现同步信号的分流，E-prime等刺激呈现软件可同时向不同系统（眼动、多导仪、近红外等）发送同步信号，实现系统同步，笔记本无需拓展坞，即可向外部设备（眼动、多导仪、近红外等）发送8 bit TTL同步信号，提高系统便携性。</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*3.独特的内置抗负载电路设计，确保同步信号的输出与系统识别，支持定制开发，可以根据客户需要定制同步接口（BNC、3.5mm音频口等）。</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4.同步时间精度：≤16ms。</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5.接口类型：Micro USB、25针并口、DB 9 COM口。</w:t>
            </w:r>
          </w:p>
          <w:p>
            <w:pPr>
              <w:jc w:val="left"/>
              <w:rPr>
                <w:rFonts w:hAnsi="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930" w:type="dxa"/>
            <w:vMerge w:val="restart"/>
            <w:tcBorders>
              <w:top w:val="single" w:color="000000" w:sz="4" w:space="0"/>
              <w:left w:val="single" w:color="000000" w:sz="4" w:space="0"/>
              <w:right w:val="single" w:color="000000" w:sz="4" w:space="0"/>
            </w:tcBorders>
            <w:noWrap/>
            <w:vAlign w:val="center"/>
          </w:tcPr>
          <w:p>
            <w:pPr>
              <w:widowControl/>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3包</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YC-3电刺激器</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1台</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主要技术指标：</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1、工作电压：～220V/50Hz</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2、输出方式：电压、电流</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3、脉冲极性：正脉冲、负脉冲、正负脉冲、负正脉冲</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4、刺激模式：单刺激、串单刺激、连续单刺激、双刺激、串双刺激、连续双刺激、定时刺激、强度递增刺激、频率递增刺激、波宽递增刺激、多串刺激、程序串单刺激、定时直流输出、高级递增\减刺激等；</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5、输出范围：恒压：±100伏；输出电流30mA；步进0.002伏.</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恒流 ±20mA；步进：1微安</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6、输出脉宽：0.01毫秒─1000毫秒，步进0.01毫秒；</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7、输出频率：0.2赫兹─3000赫兹，步进0.1赫兹；</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8、触发方式：内触发（由计算机发送触发命令）；外触发（外部TTL电平(5V)，开关触发或上升脉冲触发）；</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9、N:1外触发数N：设置范围0─255（N=0时，每次外触发都会引发刺激输出；当N&gt;0时，前N个外触发无效，第N+1外触发有效，第N+2至2N+1无效，第2(N+1)有效，...，第M*N+1无效，M*(N+1)有效）；</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10、同步信号：该输出是一个脉冲信号，随第一个刺激脉冲同步输出；对于“同步信号设置”设为“上升沿”则表示同步信号平时为0V低电平，输出是一个5V的脉冲信号；对于“同步信号设置”设为“下降沿”则表示同步信号平时为5V高电平，输出是一个0V的脉冲信号；</w:t>
            </w:r>
          </w:p>
          <w:p>
            <w:pPr>
              <w:jc w:val="left"/>
              <w:rPr>
                <w:rFonts w:hAnsi="宋体" w:cs="宋体"/>
                <w:bCs/>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00" w:hRule="atLeast"/>
          <w:jc w:val="center"/>
        </w:trPr>
        <w:tc>
          <w:tcPr>
            <w:tcW w:w="930" w:type="dxa"/>
            <w:vMerge w:val="continue"/>
            <w:tcBorders>
              <w:left w:val="single" w:color="000000" w:sz="4" w:space="0"/>
              <w:bottom w:val="single" w:color="000000" w:sz="4" w:space="0"/>
              <w:right w:val="single" w:color="000000" w:sz="4" w:space="0"/>
            </w:tcBorders>
            <w:noWrap/>
            <w:vAlign w:val="center"/>
          </w:tcPr>
          <w:p>
            <w:pPr>
              <w:widowControl/>
              <w:textAlignment w:val="center"/>
              <w:rPr>
                <w:rFonts w:hAnsi="宋体" w:cs="宋体"/>
                <w:color w:val="000000" w:themeColor="text1"/>
                <w:sz w:val="24"/>
                <w:szCs w:val="24"/>
                <w:highlight w:val="none"/>
                <w:lang w:bidi="ar"/>
                <w14:textFill>
                  <w14:solidFill>
                    <w14:schemeClr w14:val="tx1"/>
                  </w14:solidFill>
                </w14:textFill>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离体肌条张力测定配件（允许进口）</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1件</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1.肌条样本长度范围：最短3毫米，最长可达19毫米</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 xml:space="preserve">2.浴槽连接：可与离体微血管张力测定仪主机连接在一起使用 </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3.浴槽要求：金属材质浴槽，耐酸不锈钢材质核心浴槽，耐腐蚀，使用寿命长；内置金属材质样本固定架，保证实验数据的稳定性和精度；容量最大8ml</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4.浴槽盖：含进气管接口，专用电刺激浴槽盖上配置有刺激电极，刺激连接简便</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5.浴槽废液抽吸：手动抽吸，或通过真空泵连接废液管自动抽吸</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6.张力换能器：量程±200/400/800/1600mN，用户可根据实验条件选择设定张力换能器量程范围</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7.加热：通过主机提供内置电子加热，无需循环水浴灌流</w:t>
            </w:r>
          </w:p>
        </w:tc>
      </w:tr>
      <w:tr>
        <w:tblPrEx>
          <w:tblCellMar>
            <w:top w:w="0" w:type="dxa"/>
            <w:left w:w="108" w:type="dxa"/>
            <w:bottom w:w="0" w:type="dxa"/>
            <w:right w:w="108" w:type="dxa"/>
          </w:tblCellMar>
        </w:tblPrEx>
        <w:trPr>
          <w:trHeight w:val="6767" w:hRule="atLeast"/>
          <w:jc w:val="center"/>
        </w:trPr>
        <w:tc>
          <w:tcPr>
            <w:tcW w:w="930" w:type="dxa"/>
            <w:vMerge w:val="restart"/>
            <w:tcBorders>
              <w:top w:val="single" w:color="000000" w:sz="4" w:space="0"/>
              <w:left w:val="single" w:color="000000" w:sz="4" w:space="0"/>
              <w:right w:val="single" w:color="000000" w:sz="4" w:space="0"/>
            </w:tcBorders>
            <w:noWrap/>
            <w:vAlign w:val="center"/>
          </w:tcPr>
          <w:p>
            <w:pPr>
              <w:widowControl/>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4包</w:t>
            </w:r>
          </w:p>
          <w:p>
            <w:pPr>
              <w:textAlignment w:val="center"/>
              <w:rPr>
                <w:rFonts w:hAnsi="宋体" w:cs="宋体"/>
                <w:color w:val="000000" w:themeColor="text1"/>
                <w:sz w:val="24"/>
                <w:szCs w:val="24"/>
                <w:highlight w:val="none"/>
                <w:lang w:bidi="ar"/>
                <w14:textFill>
                  <w14:solidFill>
                    <w14:schemeClr w14:val="tx1"/>
                  </w14:solidFill>
                </w14:textFill>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多通道动物转棒仪（允许进口）</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1台</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主要技术指标：</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1.可以同时进行4只大鼠和5只小鼠的疲劳测试</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2.转棒直径：3cm和6cm</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3.小鼠跑道间距不小于5.7cm，大鼠跑道间距不小于8.7cm</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4.可以设定匀速、加速、反转、往复、多阶段等转动模式</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5.可通过软件设定参数和控制仪器</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6.触摸屏，屏幕角度和对比度可调</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7.加速设定范围5-80rpm可调</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8.降落高度：30cm</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9.加速时间设定范围6s-10min，可根据要求设定起始速度和终点速度</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10.不锈钢槽传感器，可以接收动物的粪便和尿液，便于消毒</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11.可通过USB接口连接软件，记录数据</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12.配置网络接口，可以将数据直接导入网络，如Dropbox、网盘</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13.超静音设计，噪音级别小于60 dB</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规格型号：47850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用途：用于运动疲劳及运动协调性研究</w:t>
            </w:r>
          </w:p>
        </w:tc>
      </w:tr>
      <w:tr>
        <w:tblPrEx>
          <w:tblCellMar>
            <w:top w:w="0" w:type="dxa"/>
            <w:left w:w="108" w:type="dxa"/>
            <w:bottom w:w="0" w:type="dxa"/>
            <w:right w:w="108" w:type="dxa"/>
          </w:tblCellMar>
        </w:tblPrEx>
        <w:trPr>
          <w:trHeight w:val="600" w:hRule="atLeast"/>
          <w:jc w:val="center"/>
        </w:trPr>
        <w:tc>
          <w:tcPr>
            <w:tcW w:w="930" w:type="dxa"/>
            <w:vMerge w:val="continue"/>
            <w:tcBorders>
              <w:left w:val="single" w:color="000000" w:sz="4" w:space="0"/>
              <w:right w:val="single" w:color="000000" w:sz="4" w:space="0"/>
            </w:tcBorders>
            <w:noWrap/>
            <w:vAlign w:val="center"/>
          </w:tcPr>
          <w:p>
            <w:pPr>
              <w:textAlignment w:val="center"/>
              <w:rPr>
                <w:rFonts w:hAnsi="宋体" w:cs="宋体"/>
                <w:color w:val="000000" w:themeColor="text1"/>
                <w:sz w:val="24"/>
                <w:szCs w:val="24"/>
                <w:highlight w:val="none"/>
                <w:lang w:bidi="ar"/>
                <w14:textFill>
                  <w14:solidFill>
                    <w14:schemeClr w14:val="tx1"/>
                  </w14:solidFill>
                </w14:textFill>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大鼠跑台</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2台</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1、共五条跑道，每条长550毫米，宽85毫米，高120毫米。</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2、跑道速度无级可调，范围在0-80米/分。</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3、计长、速度采用数码管显示，计长最大9999米，速度最大0-80米/分。</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4、电刺激开关控制，刺激电流0-2mA可调，（电压230v）脉冲频率3Hz</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5、红外线控制发光、发声。</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6、使用电压220V单相，频率50Hz，总功率200W。</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7、尺寸：长810毫米，宽530毫米，高230毫米，重约30公斤。</w:t>
            </w:r>
          </w:p>
        </w:tc>
      </w:tr>
      <w:tr>
        <w:tblPrEx>
          <w:tblCellMar>
            <w:top w:w="0" w:type="dxa"/>
            <w:left w:w="108" w:type="dxa"/>
            <w:bottom w:w="0" w:type="dxa"/>
            <w:right w:w="108" w:type="dxa"/>
          </w:tblCellMar>
        </w:tblPrEx>
        <w:trPr>
          <w:trHeight w:val="600" w:hRule="atLeast"/>
          <w:jc w:val="center"/>
        </w:trPr>
        <w:tc>
          <w:tcPr>
            <w:tcW w:w="930" w:type="dxa"/>
            <w:vMerge w:val="continue"/>
            <w:tcBorders>
              <w:left w:val="single" w:color="000000" w:sz="4" w:space="0"/>
              <w:bottom w:val="single" w:color="000000" w:sz="4" w:space="0"/>
              <w:right w:val="single" w:color="000000" w:sz="4" w:space="0"/>
            </w:tcBorders>
            <w:noWrap/>
            <w:vAlign w:val="center"/>
          </w:tcPr>
          <w:p>
            <w:pPr>
              <w:widowControl/>
              <w:textAlignment w:val="center"/>
              <w:rPr>
                <w:rFonts w:hAnsi="宋体" w:cs="宋体"/>
                <w:color w:val="000000" w:themeColor="text1"/>
                <w:sz w:val="24"/>
                <w:szCs w:val="24"/>
                <w:highlight w:val="none"/>
                <w:lang w:bidi="ar"/>
                <w14:textFill>
                  <w14:solidFill>
                    <w14:schemeClr w14:val="tx1"/>
                  </w14:solidFill>
                </w14:textFill>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动物视频记录分析系统（允许进口）</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1套</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主要技术指标：</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 系统采用模块化设计，可以处理并分析实时影像，也可以处理已经录制的影像；可记录分析动物的移动轨迹、速度（平均、最大、最小）、距离、时间、起始点、停留时间、时间的比例、头部朝向、身体延长、站立、潜伏期等多个实验指标；</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 至少两种开始和四种停止记录方式设置，用户可根据需要自主定义记录时间；可人工修正轨迹误差，可自动消除动物摆尾的影响；软件允许安装多台电脑；提供USB接口的摄像设备（网络摄像机和USB摄像机），无需额外安装视频采集卡；</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 针对实验室拍摄环境条件差异，配置有视频探测优化工具，以获得最佳的动物识别效果，各个区域的亮度和对比度能够独立地调整；</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 可适用于监测动物的全局活动量和Immobility评价的行为学实验，如：开放场、强迫游泳、悬尾实验和条件恐惧实验；</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提供轨迹分析计算和全局活动量计算两种视频探测方法；全局活动性计算可以精确描绘动物局部肢体的活动量，适合强迫游泳实验的Immobility探测；可记录分析动物的移动轨迹、速度（平均、最大、最小）、距离、时间、起始点、在某一区域内停留的时间及其占总时间的比例、到达某一区域所需要的时间等不少于200个实验参数；</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6.至少具有9个事件标记功能，记录动物的其它特殊行为活动；</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7.实验中无需对动物进行颜色标记或染色处理，就能实现动物的轨迹跟踪和行为识别；</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8.配置传感器，可使用一个USB端口监控不少于16个活动轮及舔计计数器，数据传输到主机PC，循环/脉冲数时间：小于3秒，舔计数：小于0.25秒；</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9.配置活动轮，使用透明聚碳酸酯笼子，重量小于5.8磅，车轮阻力：&lt;3克；</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10.提供专门的数据表格生成工具，可详细定制表格中需要显现和隐藏的所有相关参数，以及制表符格式、字体、样式等等内容；</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11.软件能保存包括实验数据、实验信息、图像信息、动物数据库等所有信息，可保存为统一的文件格式，支持后期批量分析功能。</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规格型号：SMART 3.0。</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用途：该系统通过视频设备记录系统记录下动物的行为视频，再通过专业的软件分析动物活动轨迹以及运动量，从而用于开展模型动物的运动功能，及运动与认知、焦虑、抑郁等相关性的评价实验</w:t>
            </w:r>
          </w:p>
        </w:tc>
      </w:tr>
      <w:tr>
        <w:tblPrEx>
          <w:tblCellMar>
            <w:top w:w="0" w:type="dxa"/>
            <w:left w:w="108" w:type="dxa"/>
            <w:bottom w:w="0" w:type="dxa"/>
            <w:right w:w="108" w:type="dxa"/>
          </w:tblCellMar>
        </w:tblPrEx>
        <w:trPr>
          <w:trHeight w:val="600"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color w:val="000000" w:themeColor="text1"/>
                <w:sz w:val="24"/>
                <w:szCs w:val="24"/>
                <w:highlight w:val="none"/>
                <w:lang w:bidi="ar"/>
                <w14:textFill>
                  <w14:solidFill>
                    <w14:schemeClr w14:val="tx1"/>
                  </w14:solidFill>
                </w14:textFill>
              </w:rPr>
              <w:t>5包</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手指和手部压力测量系统</w:t>
            </w:r>
          </w:p>
        </w:tc>
        <w:tc>
          <w:tcPr>
            <w:tcW w:w="92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1套</w:t>
            </w:r>
          </w:p>
        </w:tc>
        <w:tc>
          <w:tcPr>
            <w:tcW w:w="5966" w:type="dxa"/>
            <w:tcBorders>
              <w:top w:val="single" w:color="000000" w:sz="4" w:space="0"/>
              <w:left w:val="single" w:color="000000" w:sz="4" w:space="0"/>
              <w:bottom w:val="single" w:color="000000" w:sz="4" w:space="0"/>
              <w:right w:val="single" w:color="000000" w:sz="4" w:space="0"/>
            </w:tcBorders>
            <w:vAlign w:val="center"/>
          </w:tcPr>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 传感器特性和性能（用于力学信号采集）</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1）量程           4.4英镑 2公斤</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2）灵敏度         0.1%</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3）信噪比         1000:1</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4）重复误差       1%</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5）精度误差       小于5%</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6）传感器厚度      2mm</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7）连接线长        1.5米</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8）重量            70克</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 电气特性（用于信号传导及参数转化）</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1）采样频率            40Hz</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2）无线连接            2.4G</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3）模数转换分辨率      16位</w:t>
            </w:r>
          </w:p>
          <w:p>
            <w:pPr>
              <w:jc w:val="left"/>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4）输入电压/功率       5V / 2.5W</w:t>
            </w:r>
          </w:p>
          <w:p>
            <w:pPr>
              <w:widowControl/>
              <w:textAlignment w:val="center"/>
              <w:rPr>
                <w:rFonts w:hAnsi="宋体" w:cs="宋体"/>
                <w:color w:val="000000" w:themeColor="text1"/>
                <w:sz w:val="24"/>
                <w:szCs w:val="24"/>
                <w:highlight w:val="none"/>
                <w:lang w:bidi="ar"/>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5）工作温度            0-50°C</w:t>
            </w:r>
            <w:r>
              <w:rPr>
                <w:rFonts w:hint="eastAsia" w:hAnsi="宋体" w:cs="宋体"/>
                <w:color w:val="000000" w:themeColor="text1"/>
                <w:sz w:val="24"/>
                <w:szCs w:val="24"/>
                <w:highlight w:val="none"/>
                <w:lang w:bidi="ar"/>
                <w14:textFill>
                  <w14:solidFill>
                    <w14:schemeClr w14:val="tx1"/>
                  </w14:solidFill>
                </w14:textFill>
              </w:rPr>
              <w:t xml:space="preserve"> </w:t>
            </w:r>
          </w:p>
        </w:tc>
      </w:tr>
    </w:tbl>
    <w:p>
      <w:pPr>
        <w:rPr>
          <w:color w:val="000000" w:themeColor="text1"/>
          <w:highlight w:val="none"/>
          <w14:textFill>
            <w14:solidFill>
              <w14:schemeClr w14:val="tx1"/>
            </w14:solidFill>
          </w14:textFill>
        </w:rPr>
      </w:pPr>
    </w:p>
    <w:p>
      <w:pPr>
        <w:numPr>
          <w:ilvl w:val="0"/>
          <w:numId w:val="2"/>
        </w:numPr>
        <w:spacing w:before="120" w:beforeLines="50" w:line="360" w:lineRule="auto"/>
        <w:jc w:val="center"/>
        <w:outlineLvl w:val="1"/>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14:textFill>
            <w14:solidFill>
              <w14:schemeClr w14:val="tx1"/>
            </w14:solidFill>
          </w14:textFill>
        </w:rPr>
        <w:t>★商务要求（实质性要求）</w:t>
      </w:r>
    </w:p>
    <w:p>
      <w:pPr>
        <w:pStyle w:val="2"/>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1.交货地点：成都体育学院（成都市武侯区体院路2号）</w:t>
      </w:r>
    </w:p>
    <w:p>
      <w:pPr>
        <w:pStyle w:val="2"/>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2.交货期限：合同签订后30日内供货</w:t>
      </w:r>
    </w:p>
    <w:p>
      <w:pPr>
        <w:pStyle w:val="2"/>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3.付款方式及条件：本项目无预付款，供应商供货、安装、调试完毕并待项目验收合格后，采购人在收到供应商提供的全额、合法、正规的增值税专用发票后30日内，一次性进行合同款支付。</w:t>
      </w:r>
    </w:p>
    <w:p>
      <w:pPr>
        <w:pStyle w:val="2"/>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4.质保期：验收合格之日起三年，质保期内供应商进行免费维修、维护，不能维修、维护的，进行免费换新。</w:t>
      </w:r>
    </w:p>
    <w:p>
      <w:pPr>
        <w:pStyle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5.售后服务：</w:t>
      </w:r>
    </w:p>
    <w:p>
      <w:pPr>
        <w:pStyle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针对本项目安排工程师或技术人员，待供货安装后，对采购人进行免费培训和技术指导，并在采购人遇到故障时，能及时响应，并在接到故障通知后的2日内进行问题的解决，质保期过后，若采购人要求供应商继续提供设备维护和技术支持的，供应商应积极支持，涉及零部件更换的，供应商仅收取成本费。</w:t>
      </w:r>
    </w:p>
    <w:p>
      <w:pPr>
        <w:pStyle w:val="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验收标准：供应商与采购人应严格按照四川省财政厅《四川省政府采购项目需求论证和履约验收管理办法》(川财采〔2015〕32号)及财库[2016]205号的要求进行验收。按国家有关规定以及采购人招标文件的质量要求和技术指标、中标方的投标文件及承诺与本合同约定标准进行验收。</w:t>
      </w:r>
    </w:p>
    <w:p>
      <w:pPr>
        <w:spacing w:line="400" w:lineRule="exac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注：本章中“</w:t>
      </w:r>
      <w:r>
        <w:rPr>
          <w:rFonts w:hint="eastAsia" w:hAnsi="宋体" w:cs="宋体"/>
          <w:b/>
          <w:bCs/>
          <w:color w:val="000000" w:themeColor="text1"/>
          <w:sz w:val="32"/>
          <w:szCs w:val="32"/>
          <w:highlight w:val="none"/>
          <w14:textFill>
            <w14:solidFill>
              <w14:schemeClr w14:val="tx1"/>
            </w14:solidFill>
          </w14:textFill>
        </w:rPr>
        <w:t>★</w:t>
      </w:r>
      <w:r>
        <w:rPr>
          <w:rFonts w:hint="eastAsia" w:hAnsi="宋体" w:cs="宋体"/>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”项均为实质性要求，供应商不得负偏离，否则视为无效投标。</w:t>
      </w:r>
    </w:p>
    <w:p>
      <w:pPr>
        <w:spacing w:line="400" w:lineRule="exact"/>
        <w:rPr>
          <w:color w:val="000000" w:themeColor="text1"/>
          <w:sz w:val="24"/>
          <w:highlight w:val="none"/>
          <w14:textFill>
            <w14:solidFill>
              <w14:schemeClr w14:val="tx1"/>
            </w14:solidFill>
          </w14:textFill>
        </w:rPr>
      </w:pPr>
    </w:p>
    <w:p>
      <w:pPr>
        <w:spacing w:line="400" w:lineRule="exact"/>
        <w:rPr>
          <w:rFonts w:hint="eastAsia"/>
          <w:color w:val="000000" w:themeColor="text1"/>
          <w:highlight w:val="none"/>
          <w:lang w:eastAsia="zh-CN"/>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注：1、若技术要求中指定或变相指定品牌、型号、产地等均不作为招标要求。</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Ansi="宋体" w:cs="宋体"/>
        <w:b/>
        <w:bCs/>
        <w:color w:val="000000"/>
        <w:sz w:val="22"/>
      </w:rPr>
    </w:pPr>
    <w:r>
      <w:rPr>
        <w:rFonts w:hint="eastAsia" w:hAnsi="宋体" w:cs="宋体"/>
        <w:color w:val="000000"/>
      </w:rPr>
      <w:drawing>
        <wp:inline distT="0" distB="0" distL="114300" distR="114300">
          <wp:extent cx="400050" cy="228600"/>
          <wp:effectExtent l="0" t="0" r="0" b="0"/>
          <wp:docPr id="3" name="图片 1" descr="小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小LOGO"/>
                  <pic:cNvPicPr>
                    <a:picLocks noChangeAspect="1"/>
                  </pic:cNvPicPr>
                </pic:nvPicPr>
                <pic:blipFill>
                  <a:blip r:embed="rId1"/>
                  <a:stretch>
                    <a:fillRect/>
                  </a:stretch>
                </pic:blipFill>
                <pic:spPr>
                  <a:xfrm>
                    <a:off x="0" y="0"/>
                    <a:ext cx="400050" cy="228600"/>
                  </a:xfrm>
                  <a:prstGeom prst="rect">
                    <a:avLst/>
                  </a:prstGeom>
                  <a:noFill/>
                  <a:ln>
                    <a:noFill/>
                  </a:ln>
                </pic:spPr>
              </pic:pic>
            </a:graphicData>
          </a:graphic>
        </wp:inline>
      </w:drawing>
    </w:r>
    <w:r>
      <w:rPr>
        <w:rFonts w:hint="eastAsia" w:hAnsi="宋体" w:cs="宋体"/>
        <w:b/>
        <w:bCs/>
        <w:color w:val="000000"/>
        <w:sz w:val="22"/>
      </w:rPr>
      <w:t>四川中意招标有限公司</w:t>
    </w:r>
  </w:p>
  <w:p>
    <w:pPr>
      <w:pStyle w:val="12"/>
      <w:jc w:val="both"/>
    </w:pPr>
    <w:r>
      <w:pict>
        <v:shape id="_x0000_s4097" o:spid="_x0000_s4097" o:spt="136" type="#_x0000_t136" style="position:absolute;left:0pt;height:36.2pt;width:329.3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四川中意招标有限公司编制" style="font-family:微软雅黑;font-size:36pt;v-text-align:center;"/>
        </v:shape>
      </w:pict>
    </w:r>
    <w:r>
      <w:rPr>
        <w:rFonts w:hint="eastAsia" w:hAnsi="宋体" w:cs="宋体"/>
        <w:b/>
        <w:bCs/>
        <w:color w:val="000000"/>
        <w:szCs w:val="18"/>
        <w:u w:val="single"/>
      </w:rPr>
      <w:t>SI CHUAN ZHONG YI TENDERING CO.,LTD.</w:t>
    </w:r>
    <w:r>
      <w:rPr>
        <w:rFonts w:hint="eastAsia" w:hAnsi="宋体" w:cs="宋体"/>
        <w:b/>
        <w:bCs/>
        <w:color w:val="000000"/>
        <w:sz w:val="32"/>
        <w:szCs w:val="28"/>
        <w:u w:val="single"/>
      </w:rPr>
      <w:t xml:space="preserve">  </w:t>
    </w:r>
    <w:r>
      <w:rPr>
        <w:rFonts w:hint="eastAsia" w:hAnsi="宋体" w:cs="宋体"/>
        <w:color w:val="000000"/>
        <w:sz w:val="32"/>
        <w:szCs w:val="28"/>
        <w:u w:val="single"/>
      </w:rPr>
      <w:t xml:space="preserve">            </w:t>
    </w:r>
    <w:r>
      <w:rPr>
        <w:rFonts w:hint="eastAsia" w:hAnsi="宋体" w:cs="宋体"/>
        <w:color w:val="000000"/>
        <w:u w:val="single"/>
      </w:rPr>
      <w:t xml:space="preserve">         </w:t>
    </w:r>
    <w:r>
      <w:rPr>
        <w:rFonts w:hint="eastAsia" w:hAnsi="宋体" w:cs="宋体"/>
        <w:b/>
        <w:bCs/>
        <w:color w:val="000000"/>
        <w:sz w:val="21"/>
        <w:u w:val="single"/>
      </w:rPr>
      <w:t>公正 独立 客观 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7E5E5D63"/>
    <w:multiLevelType w:val="singleLevel"/>
    <w:tmpl w:val="7E5E5D6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47CEC"/>
    <w:rsid w:val="03825046"/>
    <w:rsid w:val="04B07DE5"/>
    <w:rsid w:val="06340BE4"/>
    <w:rsid w:val="0A9E1B8B"/>
    <w:rsid w:val="112176AB"/>
    <w:rsid w:val="136B4FBA"/>
    <w:rsid w:val="13BC56DC"/>
    <w:rsid w:val="194E6945"/>
    <w:rsid w:val="1C0F2145"/>
    <w:rsid w:val="1FF25B8F"/>
    <w:rsid w:val="25CF6C64"/>
    <w:rsid w:val="2647448E"/>
    <w:rsid w:val="26C33B36"/>
    <w:rsid w:val="26C46882"/>
    <w:rsid w:val="27645B91"/>
    <w:rsid w:val="28244A04"/>
    <w:rsid w:val="2B451554"/>
    <w:rsid w:val="2B816300"/>
    <w:rsid w:val="30784CC3"/>
    <w:rsid w:val="312361E3"/>
    <w:rsid w:val="31611634"/>
    <w:rsid w:val="317871AF"/>
    <w:rsid w:val="34DB53BF"/>
    <w:rsid w:val="3B660D01"/>
    <w:rsid w:val="3CA7071D"/>
    <w:rsid w:val="3D085203"/>
    <w:rsid w:val="41534025"/>
    <w:rsid w:val="43F15DC2"/>
    <w:rsid w:val="4C3E3365"/>
    <w:rsid w:val="4C63126C"/>
    <w:rsid w:val="4C6F2B74"/>
    <w:rsid w:val="4D4414B6"/>
    <w:rsid w:val="515D58AC"/>
    <w:rsid w:val="53555A56"/>
    <w:rsid w:val="54440330"/>
    <w:rsid w:val="558A0274"/>
    <w:rsid w:val="596433B7"/>
    <w:rsid w:val="5D4E6B46"/>
    <w:rsid w:val="5ECA5F08"/>
    <w:rsid w:val="623A55AD"/>
    <w:rsid w:val="63170FCA"/>
    <w:rsid w:val="63FA4B84"/>
    <w:rsid w:val="67A17878"/>
    <w:rsid w:val="68427065"/>
    <w:rsid w:val="68AF5245"/>
    <w:rsid w:val="6AB466D0"/>
    <w:rsid w:val="6C03799C"/>
    <w:rsid w:val="70DD3194"/>
    <w:rsid w:val="72617B57"/>
    <w:rsid w:val="735C12CB"/>
    <w:rsid w:val="74B50298"/>
    <w:rsid w:val="79A3406C"/>
    <w:rsid w:val="7AD32F92"/>
    <w:rsid w:val="7B460161"/>
    <w:rsid w:val="7BF619AE"/>
    <w:rsid w:val="7C89341E"/>
    <w:rsid w:val="7DF5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6"/>
    <w:next w:val="1"/>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next w:val="1"/>
    <w:qFormat/>
    <w:uiPriority w:val="0"/>
    <w:pPr>
      <w:keepNext/>
      <w:keepLines/>
      <w:widowControl w:val="0"/>
      <w:spacing w:before="260" w:after="260" w:line="415" w:lineRule="auto"/>
      <w:jc w:val="both"/>
      <w:outlineLvl w:val="2"/>
    </w:pPr>
    <w:rPr>
      <w:rFonts w:ascii="Calibri" w:hAnsi="Calibri" w:eastAsia="宋体" w:cs="Calibri"/>
      <w:b/>
      <w:bCs/>
      <w:kern w:val="2"/>
      <w:sz w:val="32"/>
      <w:szCs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Subtitle"/>
    <w:basedOn w:val="1"/>
    <w:next w:val="1"/>
    <w:qFormat/>
    <w:uiPriority w:val="99"/>
    <w:pPr>
      <w:widowControl w:val="0"/>
      <w:spacing w:before="240" w:beforeLines="0" w:after="60" w:afterLines="0" w:line="312" w:lineRule="auto"/>
      <w:jc w:val="center"/>
      <w:outlineLvl w:val="1"/>
    </w:pPr>
    <w:rPr>
      <w:rFonts w:hint="default" w:ascii="Cambria" w:hAnsi="Cambria" w:eastAsia="宋体" w:cs="Times New Roman"/>
      <w:b/>
      <w:kern w:val="28"/>
      <w:sz w:val="32"/>
      <w:lang w:val="en-US" w:eastAsia="zh-CN" w:bidi="ar-SA"/>
    </w:rPr>
  </w:style>
  <w:style w:type="paragraph" w:customStyle="1" w:styleId="6">
    <w:name w:val="正文（绿盟科技）"/>
    <w:qFormat/>
    <w:uiPriority w:val="0"/>
    <w:pPr>
      <w:spacing w:line="300" w:lineRule="auto"/>
    </w:pPr>
    <w:rPr>
      <w:rFonts w:ascii="Arial" w:hAnsi="Arial" w:eastAsia="宋体" w:cs="黑体"/>
      <w:sz w:val="21"/>
      <w:szCs w:val="21"/>
      <w:lang w:val="en-US" w:eastAsia="zh-CN" w:bidi="ar-SA"/>
    </w:rPr>
  </w:style>
  <w:style w:type="paragraph" w:styleId="8">
    <w:name w:val="Normal Indent"/>
    <w:basedOn w:val="1"/>
    <w:unhideWhenUsed/>
    <w:qFormat/>
    <w:uiPriority w:val="0"/>
    <w:pPr>
      <w:spacing w:beforeLines="0" w:afterLines="0"/>
      <w:ind w:firstLine="200" w:firstLineChars="200"/>
    </w:pPr>
    <w:rPr>
      <w:rFonts w:hint="eastAsia" w:ascii="Times New Roman" w:eastAsia="Times New Roman"/>
      <w:kern w:val="2"/>
      <w:sz w:val="21"/>
    </w:rPr>
  </w:style>
  <w:style w:type="paragraph" w:styleId="9">
    <w:name w:val="Body Text Indent"/>
    <w:unhideWhenUsed/>
    <w:qFormat/>
    <w:uiPriority w:val="99"/>
    <w:pPr>
      <w:widowControl w:val="0"/>
      <w:ind w:firstLine="630"/>
      <w:jc w:val="both"/>
    </w:pPr>
    <w:rPr>
      <w:rFonts w:ascii="Calibri" w:hAnsi="Times New Roman" w:eastAsia="宋体" w:cs="Times New Roman"/>
      <w:kern w:val="2"/>
      <w:sz w:val="32"/>
      <w:szCs w:val="20"/>
      <w:lang w:val="en-US" w:eastAsia="zh-CN" w:bidi="ar-SA"/>
    </w:rPr>
  </w:style>
  <w:style w:type="paragraph" w:styleId="10">
    <w:name w:val="Plain Text"/>
    <w:basedOn w:val="1"/>
    <w:qFormat/>
    <w:uiPriority w:val="0"/>
    <w:rPr>
      <w:rFonts w:ascii="宋体" w:hAnsi="Courier New" w:eastAsiaTheme="minorEastAsia" w:cstheme="minorBidi"/>
      <w:szCs w:val="22"/>
    </w:rPr>
  </w:style>
  <w:style w:type="paragraph" w:styleId="11">
    <w:name w:val="footer"/>
    <w:basedOn w:val="1"/>
    <w:qFormat/>
    <w:uiPriority w:val="0"/>
    <w:pPr>
      <w:tabs>
        <w:tab w:val="center" w:pos="4153"/>
        <w:tab w:val="right" w:pos="8306"/>
      </w:tabs>
      <w:snapToGrid w:val="0"/>
      <w:jc w:val="left"/>
    </w:pPr>
    <w:rPr>
      <w:rFonts w:ascii="Calibri"/>
      <w:kern w:val="2"/>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kern w:val="2"/>
      <w:sz w:val="18"/>
      <w:szCs w:val="20"/>
    </w:rPr>
  </w:style>
  <w:style w:type="paragraph" w:customStyle="1" w:styleId="15">
    <w:name w:val="标题 5（有编号）（绿盟科技）"/>
    <w:next w:val="6"/>
    <w:qFormat/>
    <w:uiPriority w:val="0"/>
    <w:pPr>
      <w:keepNext/>
      <w:keepLines/>
      <w:widowControl w:val="0"/>
      <w:numPr>
        <w:ilvl w:val="4"/>
        <w:numId w:val="1"/>
      </w:numPr>
      <w:spacing w:before="280" w:after="156" w:line="377" w:lineRule="auto"/>
      <w:jc w:val="left"/>
      <w:outlineLvl w:val="4"/>
    </w:pPr>
    <w:rPr>
      <w:rFonts w:ascii="Arial" w:hAnsi="Arial" w:eastAsia="黑体" w:cs="黑体"/>
      <w:b/>
      <w:kern w:val="0"/>
      <w:sz w:val="24"/>
      <w:szCs w:val="28"/>
      <w:lang w:val="en-US" w:eastAsia="zh-CN" w:bidi="ar-SA"/>
    </w:rPr>
  </w:style>
  <w:style w:type="paragraph" w:styleId="16">
    <w:name w:val="List Paragraph"/>
    <w:basedOn w:val="1"/>
    <w:qFormat/>
    <w:uiPriority w:val="34"/>
    <w:pPr>
      <w:ind w:firstLine="420" w:firstLineChars="200"/>
    </w:pPr>
  </w:style>
  <w:style w:type="paragraph" w:customStyle="1" w:styleId="17">
    <w:name w:val="宋体5号"/>
    <w:unhideWhenUsed/>
    <w:qFormat/>
    <w:uiPriority w:val="0"/>
    <w:pPr>
      <w:widowControl w:val="0"/>
      <w:spacing w:beforeLines="0" w:afterLines="0"/>
      <w:ind w:firstLine="420"/>
      <w:jc w:val="both"/>
    </w:pPr>
    <w:rPr>
      <w:rFonts w:hint="default" w:ascii="Calibri" w:hAnsi="Calibri" w:eastAsia="等线" w:cs="Times New Roman"/>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样式"/>
    <w:unhideWhenUsed/>
    <w:qFormat/>
    <w:uiPriority w:val="0"/>
    <w:pPr>
      <w:widowControl w:val="0"/>
      <w:autoSpaceDE w:val="0"/>
      <w:autoSpaceDN w:val="0"/>
      <w:adjustRightInd w:val="0"/>
      <w:spacing w:beforeLines="0" w:afterLines="0"/>
    </w:pPr>
    <w:rPr>
      <w:rFonts w:hint="eastAsia" w:ascii="宋体" w:hAnsi="宋体" w:eastAsia="宋体" w:cs="Times New Roman"/>
      <w:sz w:val="24"/>
      <w:lang w:val="en-US" w:eastAsia="zh-CN"/>
    </w:rPr>
  </w:style>
  <w:style w:type="character" w:customStyle="1" w:styleId="20">
    <w:name w:val="NormalCharacter"/>
    <w:unhideWhenUsed/>
    <w:qFormat/>
    <w:uiPriority w:val="0"/>
    <w:rPr>
      <w:rFonts w:hint="default"/>
      <w:sz w:val="24"/>
    </w:rPr>
  </w:style>
  <w:style w:type="paragraph" w:customStyle="1" w:styleId="21">
    <w:name w:val="*正文"/>
    <w:basedOn w:val="1"/>
    <w:unhideWhenUsed/>
    <w:qFormat/>
    <w:uiPriority w:val="0"/>
    <w:pPr>
      <w:widowControl/>
      <w:spacing w:beforeLines="0" w:afterLines="0" w:line="360" w:lineRule="auto"/>
      <w:ind w:firstLine="200" w:firstLineChars="200"/>
      <w:jc w:val="left"/>
    </w:pPr>
    <w:rPr>
      <w:rFonts w:hint="eastAsia" w:ascii="仿宋_GB2312"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2021-04-20T02:55:26Z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2680F6FEA3BE458C9CF95A4A1E7BB11D</vt:lpwstr>
  </property>
</Properties>
</file>