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hint="eastAsia" w:ascii="宋体" w:hAnsi="宋体" w:eastAsia="宋体" w:cs="宋体"/>
          <w:kern w:val="0"/>
          <w:szCs w:val="21"/>
          <w:lang w:eastAsia="zh-CN"/>
        </w:rPr>
      </w:pPr>
      <w:r>
        <w:rPr>
          <w:rFonts w:hint="eastAsia" w:ascii="宋体" w:hAnsi="宋体" w:eastAsia="宋体" w:cs="宋体"/>
          <w:kern w:val="0"/>
          <w:szCs w:val="21"/>
          <w:lang w:eastAsia="zh-CN"/>
        </w:rPr>
        <w:t>竞争性磋商采购公告</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9"/>
        <w:gridCol w:w="2040"/>
        <w:gridCol w:w="1620"/>
        <w:gridCol w:w="2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929"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kern w:val="0"/>
                <w:sz w:val="24"/>
                <w:szCs w:val="24"/>
                <w:highlight w:val="none"/>
                <w:lang w:eastAsia="zh-CN"/>
              </w:rPr>
              <w:t>项目名称</w:t>
            </w:r>
          </w:p>
        </w:tc>
        <w:tc>
          <w:tcPr>
            <w:tcW w:w="2040"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rPr>
            </w:pPr>
            <w:r>
              <w:rPr>
                <w:rFonts w:hint="eastAsia" w:ascii="宋体" w:hAnsi="宋体" w:eastAsia="宋体" w:cs="宋体"/>
                <w:b w:val="0"/>
                <w:bCs w:val="0"/>
                <w:sz w:val="24"/>
                <w:szCs w:val="24"/>
                <w:highlight w:val="none"/>
              </w:rPr>
              <w:t>成都体育学院国家级节约型公共机构示范单位创建咨询服务项目</w:t>
            </w:r>
          </w:p>
        </w:tc>
        <w:tc>
          <w:tcPr>
            <w:tcW w:w="1620"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kern w:val="0"/>
                <w:sz w:val="24"/>
                <w:szCs w:val="24"/>
                <w:highlight w:val="none"/>
                <w:lang w:eastAsia="zh-CN"/>
              </w:rPr>
              <w:t>项目编号</w:t>
            </w:r>
          </w:p>
        </w:tc>
        <w:tc>
          <w:tcPr>
            <w:tcW w:w="2933"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rPr>
            </w:pPr>
            <w:r>
              <w:rPr>
                <w:rFonts w:hint="eastAsia" w:ascii="宋体" w:hAnsi="宋体" w:eastAsia="宋体" w:cs="宋体"/>
                <w:b w:val="0"/>
                <w:bCs w:val="0"/>
                <w:sz w:val="24"/>
                <w:szCs w:val="24"/>
                <w:highlight w:val="none"/>
                <w:lang w:val="zh-CN"/>
              </w:rPr>
              <w:t>ZY20200136QT-C</w:t>
            </w:r>
            <w:r>
              <w:rPr>
                <w:rFonts w:hint="eastAsia" w:ascii="宋体" w:hAnsi="宋体" w:eastAsia="宋体" w:cs="宋体"/>
                <w:b w:val="0"/>
                <w:bCs w:val="0"/>
                <w:sz w:val="24"/>
                <w:szCs w:val="24"/>
                <w:highlight w:val="none"/>
                <w:lang w:val="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929"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kern w:val="0"/>
                <w:sz w:val="24"/>
                <w:szCs w:val="24"/>
                <w:highlight w:val="none"/>
                <w:lang w:eastAsia="zh-CN"/>
              </w:rPr>
              <w:t>采购方式</w:t>
            </w:r>
          </w:p>
        </w:tc>
        <w:tc>
          <w:tcPr>
            <w:tcW w:w="2040"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lang w:eastAsia="zh-CN"/>
              </w:rPr>
              <w:t>竞争性磋商</w:t>
            </w:r>
          </w:p>
        </w:tc>
        <w:tc>
          <w:tcPr>
            <w:tcW w:w="1620"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kern w:val="0"/>
                <w:sz w:val="24"/>
                <w:szCs w:val="24"/>
                <w:highlight w:val="none"/>
                <w:lang w:eastAsia="zh-CN"/>
              </w:rPr>
              <w:t>行政区划</w:t>
            </w:r>
          </w:p>
        </w:tc>
        <w:tc>
          <w:tcPr>
            <w:tcW w:w="2933"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kern w:val="0"/>
                <w:sz w:val="24"/>
                <w:szCs w:val="24"/>
                <w:highlight w:val="none"/>
                <w:lang w:eastAsia="zh-CN"/>
              </w:rPr>
              <w:t>四川省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929"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kern w:val="0"/>
                <w:sz w:val="24"/>
                <w:szCs w:val="24"/>
                <w:highlight w:val="none"/>
                <w:lang w:eastAsia="zh-CN"/>
              </w:rPr>
              <w:t>公告类型</w:t>
            </w:r>
          </w:p>
        </w:tc>
        <w:tc>
          <w:tcPr>
            <w:tcW w:w="2040"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lang w:eastAsia="zh-CN"/>
              </w:rPr>
              <w:t>采购公告</w:t>
            </w:r>
          </w:p>
        </w:tc>
        <w:tc>
          <w:tcPr>
            <w:tcW w:w="1620"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kern w:val="0"/>
                <w:sz w:val="24"/>
                <w:szCs w:val="24"/>
                <w:highlight w:val="none"/>
                <w:lang w:eastAsia="zh-CN"/>
              </w:rPr>
              <w:t>公告发布时间</w:t>
            </w:r>
          </w:p>
        </w:tc>
        <w:tc>
          <w:tcPr>
            <w:tcW w:w="2933"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lang w:val="en-US" w:eastAsia="zh-CN"/>
              </w:rPr>
            </w:pPr>
            <w:r>
              <w:rPr>
                <w:rFonts w:hint="eastAsia" w:ascii="宋体" w:hAnsi="宋体" w:eastAsia="宋体" w:cs="宋体"/>
                <w:b w:val="0"/>
                <w:bCs w:val="0"/>
                <w:kern w:val="0"/>
                <w:sz w:val="24"/>
                <w:szCs w:val="24"/>
                <w:highlight w:val="none"/>
                <w:lang w:val="en-US" w:eastAsia="zh-CN"/>
              </w:rPr>
              <w:t>2020年4月13日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1929"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kern w:val="0"/>
                <w:sz w:val="24"/>
                <w:szCs w:val="24"/>
                <w:highlight w:val="none"/>
                <w:lang w:eastAsia="zh-CN"/>
              </w:rPr>
              <w:t>项目联系人</w:t>
            </w:r>
          </w:p>
        </w:tc>
        <w:tc>
          <w:tcPr>
            <w:tcW w:w="2040"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kern w:val="0"/>
                <w:sz w:val="24"/>
                <w:szCs w:val="24"/>
                <w:highlight w:val="none"/>
                <w:lang w:eastAsia="zh-CN"/>
              </w:rPr>
              <w:t>刘女士</w:t>
            </w:r>
          </w:p>
        </w:tc>
        <w:tc>
          <w:tcPr>
            <w:tcW w:w="1620"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kern w:val="0"/>
                <w:sz w:val="24"/>
                <w:szCs w:val="24"/>
                <w:highlight w:val="none"/>
                <w:lang w:eastAsia="zh-CN"/>
              </w:rPr>
              <w:t>项目联系电话</w:t>
            </w:r>
          </w:p>
        </w:tc>
        <w:tc>
          <w:tcPr>
            <w:tcW w:w="2933"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rPr>
              <w:t>028-87050033转2013，标书售卖问询电话：028-87050033-0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29" w:type="dxa"/>
            <w:vMerge w:val="restar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kern w:val="0"/>
                <w:sz w:val="24"/>
                <w:szCs w:val="24"/>
                <w:highlight w:val="none"/>
                <w:lang w:eastAsia="zh-CN"/>
              </w:rPr>
              <w:t>采购单位信息</w:t>
            </w:r>
          </w:p>
        </w:tc>
        <w:tc>
          <w:tcPr>
            <w:tcW w:w="2040"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kern w:val="0"/>
                <w:sz w:val="24"/>
                <w:szCs w:val="24"/>
                <w:highlight w:val="none"/>
                <w:lang w:eastAsia="zh-CN"/>
              </w:rPr>
              <w:t>采购人</w:t>
            </w:r>
          </w:p>
        </w:tc>
        <w:tc>
          <w:tcPr>
            <w:tcW w:w="4553" w:type="dxa"/>
            <w:gridSpan w:val="2"/>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rPr>
            </w:pPr>
            <w:r>
              <w:rPr>
                <w:rFonts w:hint="eastAsia" w:ascii="宋体" w:hAnsi="宋体" w:eastAsia="宋体" w:cs="宋体"/>
                <w:b w:val="0"/>
                <w:bCs w:val="0"/>
                <w:sz w:val="24"/>
                <w:szCs w:val="24"/>
                <w:highlight w:val="none"/>
                <w:lang w:val="zh-CN"/>
              </w:rPr>
              <w:t>成都体育学院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29" w:type="dxa"/>
            <w:vMerge w:val="continue"/>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rPr>
            </w:pPr>
          </w:p>
        </w:tc>
        <w:tc>
          <w:tcPr>
            <w:tcW w:w="2040"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kern w:val="0"/>
                <w:sz w:val="24"/>
                <w:szCs w:val="24"/>
                <w:highlight w:val="none"/>
                <w:lang w:eastAsia="zh-CN"/>
              </w:rPr>
              <w:t>联系人和联系方式</w:t>
            </w:r>
          </w:p>
        </w:tc>
        <w:tc>
          <w:tcPr>
            <w:tcW w:w="4553" w:type="dxa"/>
            <w:gridSpan w:val="2"/>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kern w:val="0"/>
                <w:sz w:val="24"/>
                <w:szCs w:val="24"/>
                <w:highlight w:val="none"/>
                <w:lang w:eastAsia="zh-CN"/>
              </w:rPr>
              <w:t>联系人：</w:t>
            </w:r>
            <w:r>
              <w:rPr>
                <w:rFonts w:hint="eastAsia" w:ascii="宋体" w:hAnsi="宋体" w:eastAsia="宋体" w:cs="宋体"/>
                <w:b w:val="0"/>
                <w:bCs w:val="0"/>
                <w:sz w:val="24"/>
                <w:szCs w:val="24"/>
                <w:highlight w:val="none"/>
                <w:lang w:val="zh-TW" w:eastAsia="zh-TW"/>
              </w:rPr>
              <w:t>刘老师</w:t>
            </w:r>
            <w:r>
              <w:rPr>
                <w:rFonts w:hint="eastAsia" w:ascii="宋体" w:hAnsi="宋体" w:eastAsia="宋体" w:cs="宋体"/>
                <w:b w:val="0"/>
                <w:bCs w:val="0"/>
                <w:kern w:val="0"/>
                <w:sz w:val="24"/>
                <w:szCs w:val="24"/>
                <w:highlight w:val="none"/>
                <w:lang w:eastAsia="zh-CN"/>
              </w:rPr>
              <w:t>，联系电话：</w:t>
            </w:r>
            <w:r>
              <w:rPr>
                <w:rFonts w:hint="eastAsia" w:ascii="宋体" w:hAnsi="宋体" w:eastAsia="宋体" w:cs="宋体"/>
                <w:b w:val="0"/>
                <w:bCs w:val="0"/>
                <w:sz w:val="24"/>
                <w:szCs w:val="24"/>
                <w:highlight w:val="none"/>
                <w:lang w:val="zh-TW" w:eastAsia="zh-TW"/>
              </w:rPr>
              <w:t>028-85097065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29" w:type="dxa"/>
            <w:vMerge w:val="continue"/>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rPr>
            </w:pPr>
          </w:p>
        </w:tc>
        <w:tc>
          <w:tcPr>
            <w:tcW w:w="2040"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kern w:val="0"/>
                <w:sz w:val="24"/>
                <w:szCs w:val="24"/>
                <w:highlight w:val="none"/>
                <w:lang w:eastAsia="zh-CN"/>
              </w:rPr>
              <w:t>联系地址</w:t>
            </w:r>
          </w:p>
        </w:tc>
        <w:tc>
          <w:tcPr>
            <w:tcW w:w="4553" w:type="dxa"/>
            <w:gridSpan w:val="2"/>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rPr>
            </w:pPr>
            <w:r>
              <w:rPr>
                <w:rFonts w:hint="eastAsia" w:ascii="宋体" w:hAnsi="宋体" w:eastAsia="宋体" w:cs="宋体"/>
                <w:b w:val="0"/>
                <w:bCs w:val="0"/>
                <w:sz w:val="24"/>
                <w:szCs w:val="24"/>
                <w:highlight w:val="none"/>
                <w:lang w:val="zh-TW" w:eastAsia="zh-TW"/>
              </w:rPr>
              <w:t>四川省成都市武侯区体院路2号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29" w:type="dxa"/>
            <w:vMerge w:val="restart"/>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kern w:val="0"/>
                <w:sz w:val="24"/>
                <w:szCs w:val="24"/>
                <w:highlight w:val="none"/>
                <w:lang w:eastAsia="zh-CN"/>
              </w:rPr>
              <w:t>代理机构信息</w:t>
            </w:r>
          </w:p>
        </w:tc>
        <w:tc>
          <w:tcPr>
            <w:tcW w:w="2040"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kern w:val="0"/>
                <w:sz w:val="24"/>
                <w:szCs w:val="24"/>
                <w:highlight w:val="none"/>
                <w:lang w:eastAsia="zh-CN"/>
              </w:rPr>
              <w:t>单位名称</w:t>
            </w:r>
          </w:p>
        </w:tc>
        <w:tc>
          <w:tcPr>
            <w:tcW w:w="4553" w:type="dxa"/>
            <w:gridSpan w:val="2"/>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rPr>
            </w:pPr>
            <w:r>
              <w:rPr>
                <w:rFonts w:hint="eastAsia" w:ascii="宋体" w:hAnsi="宋体" w:eastAsia="宋体" w:cs="宋体"/>
                <w:b w:val="0"/>
                <w:bCs w:val="0"/>
                <w:color w:val="000000"/>
                <w:kern w:val="0"/>
                <w:sz w:val="24"/>
                <w:szCs w:val="24"/>
                <w:highlight w:val="none"/>
              </w:rPr>
              <w:t>四川中意招标有限公司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dxa"/>
            <w:vMerge w:val="continue"/>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rPr>
            </w:pPr>
          </w:p>
        </w:tc>
        <w:tc>
          <w:tcPr>
            <w:tcW w:w="2040"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kern w:val="0"/>
                <w:sz w:val="24"/>
                <w:szCs w:val="24"/>
                <w:highlight w:val="none"/>
                <w:lang w:eastAsia="zh-CN"/>
              </w:rPr>
              <w:t>联系人和联系方式</w:t>
            </w:r>
          </w:p>
        </w:tc>
        <w:tc>
          <w:tcPr>
            <w:tcW w:w="4553" w:type="dxa"/>
            <w:gridSpan w:val="2"/>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rPr>
              <w:t>刘女士，联系电话：028-87050033，传真：028-87050233，电子邮箱：s.c.zyzb@163.com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dxa"/>
            <w:vMerge w:val="continue"/>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rPr>
            </w:pPr>
          </w:p>
        </w:tc>
        <w:tc>
          <w:tcPr>
            <w:tcW w:w="2040"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kern w:val="0"/>
                <w:sz w:val="24"/>
                <w:szCs w:val="24"/>
                <w:highlight w:val="none"/>
                <w:lang w:eastAsia="zh-CN"/>
              </w:rPr>
              <w:t>联系地址</w:t>
            </w:r>
          </w:p>
        </w:tc>
        <w:tc>
          <w:tcPr>
            <w:tcW w:w="4553" w:type="dxa"/>
            <w:gridSpan w:val="2"/>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rPr>
            </w:pPr>
            <w:r>
              <w:rPr>
                <w:rFonts w:hint="eastAsia" w:ascii="宋体" w:hAnsi="宋体" w:eastAsia="宋体" w:cs="宋体"/>
                <w:b w:val="0"/>
                <w:bCs w:val="0"/>
                <w:sz w:val="24"/>
                <w:szCs w:val="24"/>
                <w:highlight w:val="none"/>
              </w:rPr>
              <w:t>四川省成都市高新区天府大道1700号新世纪环球中心</w:t>
            </w:r>
            <w:r>
              <w:rPr>
                <w:rFonts w:hint="eastAsia" w:ascii="宋体" w:hAnsi="宋体" w:eastAsia="宋体" w:cs="宋体"/>
                <w:b w:val="0"/>
                <w:bCs w:val="0"/>
                <w:sz w:val="24"/>
                <w:szCs w:val="24"/>
                <w:highlight w:val="none"/>
                <w:lang w:eastAsia="zh-CN"/>
              </w:rPr>
              <w:t>E3门栋6楼2-1-611-615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dxa"/>
            <w:vAlign w:val="center"/>
          </w:tcPr>
          <w:p>
            <w:pPr>
              <w:keepNext w:val="0"/>
              <w:keepLines w:val="0"/>
              <w:pageBreakBefore w:val="0"/>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4"/>
                <w:szCs w:val="24"/>
                <w:highlight w:val="none"/>
                <w:vertAlign w:val="baseline"/>
                <w:lang w:eastAsia="zh-CN"/>
              </w:rPr>
            </w:pPr>
            <w:bookmarkStart w:id="0" w:name="_GoBack"/>
            <w:bookmarkEnd w:id="0"/>
            <w:r>
              <w:rPr>
                <w:rFonts w:hint="eastAsia" w:ascii="宋体" w:hAnsi="宋体" w:eastAsia="宋体" w:cs="宋体"/>
                <w:b w:val="0"/>
                <w:bCs w:val="0"/>
                <w:sz w:val="24"/>
                <w:szCs w:val="24"/>
                <w:highlight w:val="none"/>
                <w:vertAlign w:val="baseline"/>
                <w:lang w:eastAsia="zh-CN"/>
              </w:rPr>
              <w:t>预算金额</w:t>
            </w:r>
          </w:p>
          <w:p>
            <w:pPr>
              <w:keepNext w:val="0"/>
              <w:keepLines w:val="0"/>
              <w:pageBreakBefore w:val="0"/>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4"/>
                <w:szCs w:val="24"/>
                <w:highlight w:val="none"/>
                <w:vertAlign w:val="baseline"/>
                <w:lang w:eastAsia="zh-CN"/>
              </w:rPr>
            </w:pPr>
            <w:r>
              <w:rPr>
                <w:rFonts w:hint="eastAsia" w:ascii="宋体" w:hAnsi="宋体" w:eastAsia="宋体" w:cs="宋体"/>
                <w:b w:val="0"/>
                <w:bCs w:val="0"/>
                <w:sz w:val="24"/>
                <w:szCs w:val="24"/>
                <w:highlight w:val="none"/>
                <w:vertAlign w:val="baseline"/>
                <w:lang w:eastAsia="zh-CN"/>
              </w:rPr>
              <w:t>（万元）</w:t>
            </w:r>
          </w:p>
        </w:tc>
        <w:tc>
          <w:tcPr>
            <w:tcW w:w="6593" w:type="dxa"/>
            <w:gridSpan w:val="3"/>
            <w:vAlign w:val="center"/>
          </w:tcPr>
          <w:p>
            <w:pPr>
              <w:keepNext w:val="0"/>
              <w:keepLines w:val="0"/>
              <w:pageBreakBefore w:val="0"/>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4"/>
                <w:szCs w:val="24"/>
                <w:highlight w:val="none"/>
                <w:vertAlign w:val="baseline"/>
                <w:lang w:eastAsia="zh-CN"/>
              </w:rPr>
            </w:pPr>
            <w:r>
              <w:rPr>
                <w:rFonts w:hint="eastAsia" w:ascii="宋体" w:hAnsi="宋体" w:eastAsia="宋体" w:cs="宋体"/>
                <w:b w:val="0"/>
                <w:bCs w:val="0"/>
                <w:sz w:val="24"/>
                <w:szCs w:val="24"/>
                <w:highlight w:val="none"/>
              </w:rPr>
              <w:t>9.8万元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4"/>
                <w:szCs w:val="24"/>
                <w:highlight w:val="none"/>
                <w:vertAlign w:val="baseline"/>
                <w:lang w:eastAsia="zh-CN"/>
              </w:rPr>
            </w:pPr>
            <w:r>
              <w:rPr>
                <w:rFonts w:hint="eastAsia" w:ascii="宋体" w:hAnsi="宋体" w:eastAsia="宋体" w:cs="宋体"/>
                <w:b w:val="0"/>
                <w:bCs w:val="0"/>
                <w:kern w:val="0"/>
                <w:sz w:val="24"/>
                <w:szCs w:val="24"/>
                <w:highlight w:val="none"/>
                <w:lang w:eastAsia="zh-CN"/>
              </w:rPr>
              <w:t>获取磋商文件时间</w:t>
            </w:r>
          </w:p>
        </w:tc>
        <w:tc>
          <w:tcPr>
            <w:tcW w:w="6593" w:type="dxa"/>
            <w:gridSpan w:val="3"/>
            <w:vAlign w:val="center"/>
          </w:tcPr>
          <w:p>
            <w:pPr>
              <w:keepNext w:val="0"/>
              <w:keepLines w:val="0"/>
              <w:pageBreakBefore w:val="0"/>
              <w:kinsoku/>
              <w:overflowPunct/>
              <w:topLinePunct w:val="0"/>
              <w:autoSpaceDE/>
              <w:autoSpaceDN/>
              <w:bidi w:val="0"/>
              <w:adjustRightInd/>
              <w:snapToGrid/>
              <w:spacing w:line="240" w:lineRule="auto"/>
              <w:textAlignment w:val="auto"/>
              <w:rPr>
                <w:rFonts w:hint="eastAsia" w:ascii="宋体" w:hAnsi="宋体" w:eastAsia="宋体" w:cs="宋体"/>
                <w:b w:val="0"/>
                <w:bCs w:val="0"/>
                <w:sz w:val="24"/>
                <w:szCs w:val="24"/>
                <w:highlight w:val="none"/>
                <w:vertAlign w:val="baseline"/>
              </w:rPr>
            </w:pPr>
            <w:r>
              <w:rPr>
                <w:rFonts w:hint="eastAsia" w:ascii="宋体" w:hAnsi="宋体" w:eastAsia="宋体" w:cs="宋体"/>
                <w:b w:val="0"/>
                <w:bCs w:val="0"/>
                <w:sz w:val="24"/>
                <w:szCs w:val="24"/>
                <w:highlight w:val="none"/>
                <w:lang w:val="zh-CN"/>
              </w:rPr>
              <w:t>2020年</w:t>
            </w:r>
            <w:r>
              <w:rPr>
                <w:rFonts w:hint="eastAsia" w:ascii="宋体" w:hAnsi="宋体" w:eastAsia="宋体" w:cs="宋体"/>
                <w:b w:val="0"/>
                <w:bCs w:val="0"/>
                <w:sz w:val="24"/>
                <w:szCs w:val="24"/>
                <w:highlight w:val="none"/>
              </w:rPr>
              <w:t>4</w:t>
            </w:r>
            <w:r>
              <w:rPr>
                <w:rFonts w:hint="eastAsia" w:ascii="宋体" w:hAnsi="宋体" w:eastAsia="宋体" w:cs="宋体"/>
                <w:b w:val="0"/>
                <w:bCs w:val="0"/>
                <w:sz w:val="24"/>
                <w:szCs w:val="24"/>
                <w:highlight w:val="none"/>
                <w:lang w:val="zh-CN"/>
              </w:rPr>
              <w:t>月</w:t>
            </w:r>
            <w:r>
              <w:rPr>
                <w:rFonts w:hint="eastAsia" w:ascii="宋体" w:hAnsi="宋体" w:eastAsia="宋体" w:cs="宋体"/>
                <w:b w:val="0"/>
                <w:bCs w:val="0"/>
                <w:sz w:val="24"/>
                <w:szCs w:val="24"/>
                <w:highlight w:val="none"/>
              </w:rPr>
              <w:t>1</w:t>
            </w:r>
            <w:r>
              <w:rPr>
                <w:rFonts w:hint="eastAsia" w:ascii="宋体" w:hAnsi="宋体" w:eastAsia="宋体" w:cs="宋体"/>
                <w:b w:val="0"/>
                <w:bCs w:val="0"/>
                <w:sz w:val="24"/>
                <w:szCs w:val="24"/>
                <w:highlight w:val="none"/>
                <w:lang w:val="en-US" w:eastAsia="zh-CN"/>
              </w:rPr>
              <w:t>4</w:t>
            </w:r>
            <w:r>
              <w:rPr>
                <w:rFonts w:hint="eastAsia" w:ascii="宋体" w:hAnsi="宋体" w:eastAsia="宋体" w:cs="宋体"/>
                <w:b w:val="0"/>
                <w:bCs w:val="0"/>
                <w:sz w:val="24"/>
                <w:szCs w:val="24"/>
                <w:highlight w:val="none"/>
                <w:lang w:val="zh-CN"/>
              </w:rPr>
              <w:t>日至2020年</w:t>
            </w:r>
            <w:r>
              <w:rPr>
                <w:rFonts w:hint="eastAsia" w:ascii="宋体" w:hAnsi="宋体" w:eastAsia="宋体" w:cs="宋体"/>
                <w:b w:val="0"/>
                <w:bCs w:val="0"/>
                <w:sz w:val="24"/>
                <w:szCs w:val="24"/>
                <w:highlight w:val="none"/>
              </w:rPr>
              <w:t>4</w:t>
            </w:r>
            <w:r>
              <w:rPr>
                <w:rFonts w:hint="eastAsia" w:ascii="宋体" w:hAnsi="宋体" w:eastAsia="宋体" w:cs="宋体"/>
                <w:b w:val="0"/>
                <w:bCs w:val="0"/>
                <w:sz w:val="24"/>
                <w:szCs w:val="24"/>
                <w:highlight w:val="none"/>
                <w:lang w:val="zh-CN"/>
              </w:rPr>
              <w:t>月</w:t>
            </w:r>
            <w:r>
              <w:rPr>
                <w:rFonts w:hint="eastAsia" w:ascii="宋体" w:hAnsi="宋体" w:eastAsia="宋体" w:cs="宋体"/>
                <w:b w:val="0"/>
                <w:bCs w:val="0"/>
                <w:sz w:val="24"/>
                <w:szCs w:val="24"/>
                <w:highlight w:val="none"/>
                <w:lang w:val="en-US" w:eastAsia="zh-CN"/>
              </w:rPr>
              <w:t>20</w:t>
            </w:r>
            <w:r>
              <w:rPr>
                <w:rFonts w:hint="eastAsia" w:ascii="宋体" w:hAnsi="宋体" w:eastAsia="宋体" w:cs="宋体"/>
                <w:b w:val="0"/>
                <w:bCs w:val="0"/>
                <w:sz w:val="24"/>
                <w:szCs w:val="24"/>
                <w:highlight w:val="none"/>
                <w:lang w:val="zh-CN"/>
              </w:rPr>
              <w:t>日09:00-16:30（北京时间，法定节假日除外）</w:t>
            </w:r>
            <w:r>
              <w:rPr>
                <w:rFonts w:hint="eastAsia" w:ascii="宋体" w:hAnsi="宋体" w:eastAsia="宋体" w:cs="宋体"/>
                <w:b w:val="0"/>
                <w:bCs w:val="0"/>
                <w:sz w:val="24"/>
                <w:szCs w:val="24"/>
                <w:highlight w:val="none"/>
              </w:rPr>
              <w:t>，逾期不售。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dxa"/>
            <w:vAlign w:val="center"/>
          </w:tcPr>
          <w:p>
            <w:pPr>
              <w:keepNext w:val="0"/>
              <w:keepLines w:val="0"/>
              <w:pageBreakBefore w:val="0"/>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sz w:val="24"/>
                <w:szCs w:val="24"/>
                <w:highlight w:val="none"/>
                <w:vertAlign w:val="baseline"/>
                <w:lang w:val="en-US" w:eastAsia="zh-CN"/>
              </w:rPr>
              <w:t>获取磋商文件方式</w:t>
            </w:r>
          </w:p>
        </w:tc>
        <w:tc>
          <w:tcPr>
            <w:tcW w:w="6593" w:type="dxa"/>
            <w:gridSpan w:val="3"/>
            <w:vAlign w:val="center"/>
          </w:tcPr>
          <w:p>
            <w:pPr>
              <w:keepNext w:val="0"/>
              <w:keepLines w:val="0"/>
              <w:pageBreakBefore w:val="0"/>
              <w:kinsoku/>
              <w:overflowPunct/>
              <w:topLinePunct w:val="0"/>
              <w:autoSpaceDE/>
              <w:autoSpaceDN/>
              <w:bidi w:val="0"/>
              <w:adjustRightInd/>
              <w:snapToGrid/>
              <w:spacing w:line="240" w:lineRule="auto"/>
              <w:ind w:firstLine="480" w:firstLineChars="200"/>
              <w:textAlignment w:val="auto"/>
              <w:rPr>
                <w:rFonts w:hint="eastAsia" w:ascii="宋体" w:hAnsi="宋体" w:eastAsia="宋体" w:cs="宋体"/>
                <w:b w:val="0"/>
                <w:bCs w:val="0"/>
                <w:sz w:val="24"/>
                <w:szCs w:val="24"/>
                <w:highlight w:val="none"/>
                <w:lang w:val="zh-CN"/>
              </w:rPr>
            </w:pPr>
            <w:r>
              <w:rPr>
                <w:rFonts w:hint="eastAsia" w:ascii="宋体" w:hAnsi="宋体" w:eastAsia="宋体" w:cs="宋体"/>
                <w:b w:val="0"/>
                <w:bCs w:val="0"/>
                <w:sz w:val="24"/>
                <w:szCs w:val="24"/>
                <w:highlight w:val="none"/>
                <w:lang w:val="zh-CN"/>
              </w:rPr>
              <w:t>请供应商通过以下流程进行磋商文件购买（此账号仅限报名费用打款）：</w:t>
            </w:r>
          </w:p>
          <w:p>
            <w:pPr>
              <w:pStyle w:val="41"/>
              <w:keepNext w:val="0"/>
              <w:keepLines w:val="0"/>
              <w:pageBreakBefore w:val="0"/>
              <w:kinsoku/>
              <w:overflowPunct/>
              <w:topLinePunct w:val="0"/>
              <w:autoSpaceDE/>
              <w:autoSpaceDN/>
              <w:bidi w:val="0"/>
              <w:adjustRightInd/>
              <w:snapToGrid/>
              <w:spacing w:line="240" w:lineRule="auto"/>
              <w:ind w:firstLine="48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zh-CN"/>
              </w:rPr>
              <w:t>1、供应商将本公司介绍信（介绍信务必填写购买项目名称及包号）（加盖公章）、经办人身份证复印件（加盖公章）、经办人联系电话、经办人邮箱发送至四川中意招标有限公司邮箱s.c.zyzb@163.com，</w:t>
            </w:r>
            <w:r>
              <w:rPr>
                <w:rFonts w:hint="eastAsia" w:ascii="宋体" w:hAnsi="宋体" w:eastAsia="宋体" w:cs="宋体"/>
                <w:b w:val="0"/>
                <w:bCs w:val="0"/>
                <w:sz w:val="24"/>
                <w:szCs w:val="24"/>
                <w:highlight w:val="none"/>
              </w:rPr>
              <w:t>报名联系电话：028-87050033-0；</w:t>
            </w:r>
          </w:p>
          <w:p>
            <w:pPr>
              <w:keepNext w:val="0"/>
              <w:keepLines w:val="0"/>
              <w:pageBreakBefore w:val="0"/>
              <w:kinsoku/>
              <w:overflowPunct/>
              <w:topLinePunct w:val="0"/>
              <w:autoSpaceDE/>
              <w:autoSpaceDN/>
              <w:bidi w:val="0"/>
              <w:adjustRightInd/>
              <w:snapToGrid/>
              <w:spacing w:line="240" w:lineRule="auto"/>
              <w:ind w:firstLine="480" w:firstLineChars="200"/>
              <w:textAlignment w:val="auto"/>
              <w:rPr>
                <w:rFonts w:hint="eastAsia" w:ascii="宋体" w:hAnsi="宋体" w:eastAsia="宋体" w:cs="宋体"/>
                <w:b w:val="0"/>
                <w:bCs w:val="0"/>
                <w:sz w:val="24"/>
                <w:szCs w:val="24"/>
                <w:highlight w:val="none"/>
                <w:lang w:val="zh-CN"/>
              </w:rPr>
            </w:pPr>
            <w:r>
              <w:rPr>
                <w:rFonts w:hint="eastAsia" w:ascii="宋体" w:hAnsi="宋体" w:eastAsia="宋体" w:cs="宋体"/>
                <w:b w:val="0"/>
                <w:bCs w:val="0"/>
                <w:sz w:val="24"/>
                <w:szCs w:val="24"/>
                <w:highlight w:val="none"/>
                <w:lang w:val="zh-CN"/>
              </w:rPr>
              <w:t>供应商购买采购文件时须如实认真填写项目信息及供应商信息；若因供应商提供的错误信息，对其参与磋商事宜造成影响的，由供应商自行承担所有责任。</w:t>
            </w:r>
          </w:p>
          <w:p>
            <w:pPr>
              <w:keepNext w:val="0"/>
              <w:keepLines w:val="0"/>
              <w:pageBreakBefore w:val="0"/>
              <w:kinsoku/>
              <w:overflowPunct/>
              <w:topLinePunct w:val="0"/>
              <w:autoSpaceDE/>
              <w:autoSpaceDN/>
              <w:bidi w:val="0"/>
              <w:adjustRightInd/>
              <w:snapToGrid/>
              <w:spacing w:line="240" w:lineRule="auto"/>
              <w:ind w:firstLine="480" w:firstLineChars="200"/>
              <w:textAlignment w:val="auto"/>
              <w:rPr>
                <w:rFonts w:hint="eastAsia" w:ascii="宋体" w:hAnsi="宋体" w:eastAsia="宋体" w:cs="宋体"/>
                <w:b w:val="0"/>
                <w:bCs w:val="0"/>
                <w:sz w:val="24"/>
                <w:szCs w:val="24"/>
                <w:highlight w:val="none"/>
                <w:lang w:val="zh-CN"/>
              </w:rPr>
            </w:pPr>
            <w:r>
              <w:rPr>
                <w:rFonts w:hint="eastAsia" w:ascii="宋体" w:hAnsi="宋体" w:eastAsia="宋体" w:cs="宋体"/>
                <w:b w:val="0"/>
                <w:bCs w:val="0"/>
                <w:sz w:val="24"/>
                <w:szCs w:val="24"/>
                <w:highlight w:val="none"/>
                <w:lang w:val="zh-CN"/>
              </w:rPr>
              <w:t>2、供应商按照采购公告内规定的报名费用以银行转账形式将报名费转账到四川中意招标有限公司指定账户(转账时请备注公司名称，如无法备注公司名称请在转账成功后将转账图片及公司名称发送至邮箱s.c.zyzb@163.com)：</w:t>
            </w:r>
          </w:p>
          <w:p>
            <w:pPr>
              <w:keepNext w:val="0"/>
              <w:keepLines w:val="0"/>
              <w:pageBreakBefore w:val="0"/>
              <w:kinsoku/>
              <w:overflowPunct/>
              <w:topLinePunct w:val="0"/>
              <w:autoSpaceDE/>
              <w:autoSpaceDN/>
              <w:bidi w:val="0"/>
              <w:adjustRightInd/>
              <w:snapToGrid/>
              <w:spacing w:line="240" w:lineRule="auto"/>
              <w:ind w:firstLine="480" w:firstLineChars="200"/>
              <w:textAlignment w:val="auto"/>
              <w:rPr>
                <w:rFonts w:hint="eastAsia" w:ascii="宋体" w:hAnsi="宋体" w:eastAsia="宋体" w:cs="宋体"/>
                <w:b w:val="0"/>
                <w:bCs w:val="0"/>
                <w:sz w:val="24"/>
                <w:szCs w:val="24"/>
                <w:highlight w:val="none"/>
                <w:lang w:val="zh-CN"/>
              </w:rPr>
            </w:pPr>
            <w:r>
              <w:rPr>
                <w:rFonts w:hint="eastAsia" w:ascii="宋体" w:hAnsi="宋体" w:eastAsia="宋体" w:cs="宋体"/>
                <w:b w:val="0"/>
                <w:bCs w:val="0"/>
                <w:sz w:val="24"/>
                <w:szCs w:val="24"/>
                <w:highlight w:val="none"/>
                <w:lang w:val="zh-CN"/>
              </w:rPr>
              <w:t>收款单位：四川中意招标有限公司</w:t>
            </w:r>
          </w:p>
          <w:p>
            <w:pPr>
              <w:keepNext w:val="0"/>
              <w:keepLines w:val="0"/>
              <w:pageBreakBefore w:val="0"/>
              <w:kinsoku/>
              <w:overflowPunct/>
              <w:topLinePunct w:val="0"/>
              <w:autoSpaceDE/>
              <w:autoSpaceDN/>
              <w:bidi w:val="0"/>
              <w:adjustRightInd/>
              <w:snapToGrid/>
              <w:spacing w:line="240" w:lineRule="auto"/>
              <w:ind w:firstLine="480" w:firstLineChars="200"/>
              <w:textAlignment w:val="auto"/>
              <w:rPr>
                <w:rFonts w:hint="eastAsia" w:ascii="宋体" w:hAnsi="宋体" w:eastAsia="宋体" w:cs="宋体"/>
                <w:b w:val="0"/>
                <w:bCs w:val="0"/>
                <w:sz w:val="24"/>
                <w:szCs w:val="24"/>
                <w:highlight w:val="none"/>
                <w:lang w:val="zh-CN"/>
              </w:rPr>
            </w:pPr>
            <w:r>
              <w:rPr>
                <w:rFonts w:hint="eastAsia" w:ascii="宋体" w:hAnsi="宋体" w:eastAsia="宋体" w:cs="宋体"/>
                <w:b w:val="0"/>
                <w:bCs w:val="0"/>
                <w:sz w:val="24"/>
                <w:szCs w:val="24"/>
                <w:highlight w:val="none"/>
                <w:lang w:val="zh-CN"/>
              </w:rPr>
              <w:t>开户行：中国民生银行股份有限公司成都分行营业部</w:t>
            </w:r>
          </w:p>
          <w:p>
            <w:pPr>
              <w:keepNext w:val="0"/>
              <w:keepLines w:val="0"/>
              <w:pageBreakBefore w:val="0"/>
              <w:kinsoku/>
              <w:overflowPunct/>
              <w:topLinePunct w:val="0"/>
              <w:autoSpaceDE/>
              <w:autoSpaceDN/>
              <w:bidi w:val="0"/>
              <w:adjustRightInd/>
              <w:snapToGrid/>
              <w:spacing w:line="240" w:lineRule="auto"/>
              <w:ind w:firstLine="480" w:firstLineChars="200"/>
              <w:textAlignment w:val="auto"/>
              <w:rPr>
                <w:rFonts w:hint="eastAsia" w:ascii="宋体" w:hAnsi="宋体" w:eastAsia="宋体" w:cs="宋体"/>
                <w:b w:val="0"/>
                <w:bCs w:val="0"/>
                <w:sz w:val="24"/>
                <w:szCs w:val="24"/>
                <w:highlight w:val="none"/>
                <w:lang w:val="zh-CN"/>
              </w:rPr>
            </w:pPr>
            <w:r>
              <w:rPr>
                <w:rFonts w:hint="eastAsia" w:ascii="宋体" w:hAnsi="宋体" w:eastAsia="宋体" w:cs="宋体"/>
                <w:b w:val="0"/>
                <w:bCs w:val="0"/>
                <w:sz w:val="24"/>
                <w:szCs w:val="24"/>
                <w:highlight w:val="none"/>
                <w:lang w:val="zh-CN"/>
              </w:rPr>
              <w:t>银行账号：696637422</w:t>
            </w:r>
          </w:p>
          <w:p>
            <w:pPr>
              <w:keepNext w:val="0"/>
              <w:keepLines w:val="0"/>
              <w:pageBreakBefore w:val="0"/>
              <w:widowControl/>
              <w:kinsoku/>
              <w:overflowPunct/>
              <w:topLinePunct w:val="0"/>
              <w:autoSpaceDE/>
              <w:autoSpaceDN/>
              <w:bidi w:val="0"/>
              <w:adjustRightInd/>
              <w:snapToGrid/>
              <w:spacing w:line="240" w:lineRule="auto"/>
              <w:jc w:val="lef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zh-CN"/>
              </w:rPr>
              <w:t>3、待公司确认报名资料及报名费用无误后，将磋商文件发送至对应供应商的经办人邮箱。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dxa"/>
            <w:vAlign w:val="center"/>
          </w:tcPr>
          <w:p>
            <w:pPr>
              <w:keepNext w:val="0"/>
              <w:keepLines w:val="0"/>
              <w:pageBreakBefore w:val="0"/>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4"/>
                <w:szCs w:val="24"/>
                <w:highlight w:val="none"/>
                <w:vertAlign w:val="baseline"/>
                <w:lang w:eastAsia="zh-CN"/>
              </w:rPr>
            </w:pPr>
            <w:r>
              <w:rPr>
                <w:rFonts w:hint="eastAsia" w:ascii="宋体" w:hAnsi="宋体" w:eastAsia="宋体" w:cs="宋体"/>
                <w:b w:val="0"/>
                <w:bCs w:val="0"/>
                <w:sz w:val="24"/>
                <w:szCs w:val="24"/>
                <w:highlight w:val="none"/>
                <w:vertAlign w:val="baseline"/>
                <w:lang w:val="en-US" w:eastAsia="zh-CN"/>
              </w:rPr>
              <w:t>磋商文件售价</w:t>
            </w:r>
          </w:p>
          <w:p>
            <w:pPr>
              <w:keepNext w:val="0"/>
              <w:keepLines w:val="0"/>
              <w:pageBreakBefore w:val="0"/>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sz w:val="24"/>
                <w:szCs w:val="24"/>
                <w:highlight w:val="none"/>
                <w:vertAlign w:val="baseline"/>
                <w:lang w:eastAsia="zh-CN"/>
              </w:rPr>
              <w:t>（元）</w:t>
            </w:r>
          </w:p>
        </w:tc>
        <w:tc>
          <w:tcPr>
            <w:tcW w:w="6593" w:type="dxa"/>
            <w:gridSpan w:val="3"/>
            <w:vAlign w:val="center"/>
          </w:tcPr>
          <w:p>
            <w:pPr>
              <w:keepNext w:val="0"/>
              <w:keepLines w:val="0"/>
              <w:pageBreakBefore w:val="0"/>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vertAlign w:val="baseline"/>
                <w:lang w:val="en-US" w:eastAsia="zh-CN"/>
              </w:rPr>
              <w:t>400</w:t>
            </w:r>
            <w:r>
              <w:rPr>
                <w:rFonts w:hint="eastAsia" w:ascii="宋体" w:hAnsi="宋体" w:eastAsia="宋体" w:cs="宋体"/>
                <w:b w:val="0"/>
                <w:bCs w:val="0"/>
                <w:sz w:val="24"/>
                <w:szCs w:val="24"/>
                <w:highlight w:val="none"/>
                <w:vertAlign w:val="baseline"/>
                <w:lang w:eastAsia="zh-CN"/>
              </w:rPr>
              <w:t>元（人民币）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1929" w:type="dxa"/>
            <w:vAlign w:val="center"/>
          </w:tcPr>
          <w:p>
            <w:pPr>
              <w:keepNext w:val="0"/>
              <w:keepLines w:val="0"/>
              <w:pageBreakBefore w:val="0"/>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sz w:val="24"/>
                <w:szCs w:val="24"/>
                <w:highlight w:val="none"/>
                <w:vertAlign w:val="baseline"/>
                <w:lang w:eastAsia="zh-CN"/>
              </w:rPr>
              <w:t>获取磋商文件的地点</w:t>
            </w:r>
          </w:p>
        </w:tc>
        <w:tc>
          <w:tcPr>
            <w:tcW w:w="6593" w:type="dxa"/>
            <w:gridSpan w:val="3"/>
            <w:vAlign w:val="center"/>
          </w:tcPr>
          <w:p>
            <w:pPr>
              <w:keepNext w:val="0"/>
              <w:keepLines w:val="0"/>
              <w:pageBreakBefore w:val="0"/>
              <w:kinsoku/>
              <w:overflowPunct/>
              <w:topLinePunct w:val="0"/>
              <w:autoSpaceDE/>
              <w:autoSpaceDN/>
              <w:bidi w:val="0"/>
              <w:adjustRightInd/>
              <w:snapToGrid/>
              <w:spacing w:line="240" w:lineRule="auto"/>
              <w:jc w:val="lef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四川省成都市高新区天府大道1700号新世纪环球中心</w:t>
            </w:r>
            <w:r>
              <w:rPr>
                <w:rFonts w:hint="eastAsia" w:ascii="宋体" w:hAnsi="宋体" w:eastAsia="宋体" w:cs="宋体"/>
                <w:b w:val="0"/>
                <w:bCs w:val="0"/>
                <w:sz w:val="24"/>
                <w:szCs w:val="24"/>
                <w:highlight w:val="none"/>
                <w:lang w:eastAsia="zh-CN"/>
              </w:rPr>
              <w:t>E3门栋6楼2-1-611-615</w:t>
            </w:r>
            <w:r>
              <w:rPr>
                <w:rFonts w:hint="eastAsia" w:ascii="宋体" w:hAnsi="宋体" w:eastAsia="宋体" w:cs="宋体"/>
                <w:b w:val="0"/>
                <w:bCs w:val="0"/>
                <w:sz w:val="24"/>
                <w:szCs w:val="24"/>
                <w:highlight w:val="none"/>
              </w:rPr>
              <w:t>四川中意招标有限公司购买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929"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kern w:val="0"/>
                <w:sz w:val="24"/>
                <w:szCs w:val="24"/>
                <w:highlight w:val="none"/>
                <w:lang w:eastAsia="zh-CN"/>
              </w:rPr>
              <w:t>响应文件递交时间</w:t>
            </w:r>
          </w:p>
        </w:tc>
        <w:tc>
          <w:tcPr>
            <w:tcW w:w="6593" w:type="dxa"/>
            <w:gridSpan w:val="3"/>
            <w:vAlign w:val="center"/>
          </w:tcPr>
          <w:p>
            <w:pPr>
              <w:keepNext w:val="0"/>
              <w:keepLines w:val="0"/>
              <w:pageBreakBefore w:val="0"/>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sz w:val="24"/>
                <w:szCs w:val="24"/>
                <w:highlight w:val="none"/>
              </w:rPr>
              <w:t>2020年4月2</w:t>
            </w:r>
            <w:r>
              <w:rPr>
                <w:rFonts w:hint="eastAsia" w:ascii="宋体" w:hAnsi="宋体" w:eastAsia="宋体" w:cs="宋体"/>
                <w:b w:val="0"/>
                <w:bCs w:val="0"/>
                <w:sz w:val="24"/>
                <w:szCs w:val="24"/>
                <w:highlight w:val="none"/>
                <w:lang w:val="en-US" w:eastAsia="zh-CN"/>
              </w:rPr>
              <w:t>4</w:t>
            </w:r>
            <w:r>
              <w:rPr>
                <w:rFonts w:hint="eastAsia" w:ascii="宋体" w:hAnsi="宋体" w:eastAsia="宋体" w:cs="宋体"/>
                <w:b w:val="0"/>
                <w:bCs w:val="0"/>
                <w:sz w:val="24"/>
                <w:szCs w:val="24"/>
                <w:highlight w:val="none"/>
              </w:rPr>
              <w:t>日09:30-10:00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929" w:type="dxa"/>
            <w:vAlign w:val="center"/>
          </w:tcPr>
          <w:p>
            <w:pPr>
              <w:keepNext w:val="0"/>
              <w:keepLines w:val="0"/>
              <w:pageBreakBefore w:val="0"/>
              <w:widowControl/>
              <w:kinsoku/>
              <w:overflowPunct/>
              <w:topLinePunct w:val="0"/>
              <w:autoSpaceDE/>
              <w:autoSpaceDN/>
              <w:bidi w:val="0"/>
              <w:adjustRightInd/>
              <w:snapToGrid/>
              <w:spacing w:line="240" w:lineRule="auto"/>
              <w:jc w:val="both"/>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kern w:val="0"/>
                <w:sz w:val="24"/>
                <w:szCs w:val="24"/>
                <w:highlight w:val="none"/>
                <w:lang w:val="en-US" w:eastAsia="zh-CN"/>
              </w:rPr>
              <w:t>响应文件开启时间</w:t>
            </w:r>
          </w:p>
        </w:tc>
        <w:tc>
          <w:tcPr>
            <w:tcW w:w="6593" w:type="dxa"/>
            <w:gridSpan w:val="3"/>
            <w:vAlign w:val="center"/>
          </w:tcPr>
          <w:p>
            <w:pPr>
              <w:keepNext w:val="0"/>
              <w:keepLines w:val="0"/>
              <w:pageBreakBefore w:val="0"/>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sz w:val="24"/>
                <w:szCs w:val="24"/>
                <w:highlight w:val="none"/>
              </w:rPr>
              <w:t>2020年4月2</w:t>
            </w:r>
            <w:r>
              <w:rPr>
                <w:rFonts w:hint="eastAsia" w:ascii="宋体" w:hAnsi="宋体" w:eastAsia="宋体" w:cs="宋体"/>
                <w:b w:val="0"/>
                <w:bCs w:val="0"/>
                <w:sz w:val="24"/>
                <w:szCs w:val="24"/>
                <w:highlight w:val="none"/>
                <w:lang w:val="en-US" w:eastAsia="zh-CN"/>
              </w:rPr>
              <w:t>4</w:t>
            </w:r>
            <w:r>
              <w:rPr>
                <w:rFonts w:hint="eastAsia" w:ascii="宋体" w:hAnsi="宋体" w:eastAsia="宋体" w:cs="宋体"/>
                <w:b w:val="0"/>
                <w:bCs w:val="0"/>
                <w:sz w:val="24"/>
                <w:szCs w:val="24"/>
                <w:highlight w:val="none"/>
              </w:rPr>
              <w:t>日10:</w:t>
            </w:r>
            <w:r>
              <w:rPr>
                <w:rFonts w:hint="eastAsia" w:ascii="宋体" w:hAnsi="宋体" w:eastAsia="宋体" w:cs="宋体"/>
                <w:b w:val="0"/>
                <w:bCs w:val="0"/>
                <w:sz w:val="24"/>
                <w:szCs w:val="24"/>
                <w:highlight w:val="no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0"/>
                <w:sz w:val="24"/>
                <w:szCs w:val="24"/>
                <w:highlight w:val="none"/>
                <w:lang w:eastAsia="zh-CN"/>
              </w:rPr>
            </w:pPr>
            <w:r>
              <w:rPr>
                <w:rFonts w:hint="eastAsia" w:ascii="宋体" w:hAnsi="宋体" w:eastAsia="宋体" w:cs="宋体"/>
                <w:b w:val="0"/>
                <w:bCs w:val="0"/>
                <w:kern w:val="0"/>
                <w:sz w:val="24"/>
                <w:szCs w:val="24"/>
                <w:highlight w:val="none"/>
                <w:lang w:val="en-US" w:eastAsia="zh-CN"/>
              </w:rPr>
              <w:t>响应文件递交地点</w:t>
            </w:r>
          </w:p>
        </w:tc>
        <w:tc>
          <w:tcPr>
            <w:tcW w:w="6593" w:type="dxa"/>
            <w:gridSpan w:val="3"/>
            <w:vAlign w:val="center"/>
          </w:tcPr>
          <w:p>
            <w:pPr>
              <w:keepNext w:val="0"/>
              <w:keepLines w:val="0"/>
              <w:pageBreakBefore w:val="0"/>
              <w:kinsoku/>
              <w:overflowPunct/>
              <w:topLinePunct w:val="0"/>
              <w:autoSpaceDE/>
              <w:autoSpaceDN/>
              <w:bidi w:val="0"/>
              <w:adjustRightInd/>
              <w:snapToGrid/>
              <w:spacing w:line="240" w:lineRule="auto"/>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四川省成都市高新区天府大道1700号新世纪环球中心</w:t>
            </w:r>
            <w:r>
              <w:rPr>
                <w:rFonts w:hint="eastAsia" w:ascii="宋体" w:hAnsi="宋体" w:eastAsia="宋体" w:cs="宋体"/>
                <w:b w:val="0"/>
                <w:bCs w:val="0"/>
                <w:color w:val="auto"/>
                <w:sz w:val="24"/>
                <w:szCs w:val="24"/>
                <w:highlight w:val="none"/>
                <w:lang w:eastAsia="zh-CN"/>
              </w:rPr>
              <w:t>E3门栋6楼2-1-611-615</w:t>
            </w:r>
            <w:r>
              <w:rPr>
                <w:rFonts w:hint="eastAsia" w:ascii="宋体" w:hAnsi="宋体" w:eastAsia="宋体" w:cs="宋体"/>
                <w:b w:val="0"/>
                <w:bCs w:val="0"/>
                <w:color w:val="auto"/>
                <w:sz w:val="24"/>
                <w:szCs w:val="24"/>
                <w:highlight w:val="none"/>
              </w:rPr>
              <w:t>四川中意招标有限公司会议室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7" w:hRule="atLeast"/>
        </w:trPr>
        <w:tc>
          <w:tcPr>
            <w:tcW w:w="1929" w:type="dxa"/>
            <w:vAlign w:val="center"/>
          </w:tcPr>
          <w:p>
            <w:pPr>
              <w:keepNext w:val="0"/>
              <w:keepLines w:val="0"/>
              <w:pageBreakBefore w:val="0"/>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4"/>
                <w:szCs w:val="24"/>
                <w:highlight w:val="none"/>
                <w:vertAlign w:val="baseline"/>
                <w:lang w:eastAsia="zh-CN"/>
              </w:rPr>
            </w:pPr>
            <w:r>
              <w:rPr>
                <w:rFonts w:hint="eastAsia" w:ascii="宋体" w:hAnsi="宋体" w:eastAsia="宋体" w:cs="宋体"/>
                <w:b w:val="0"/>
                <w:bCs w:val="0"/>
                <w:sz w:val="24"/>
                <w:szCs w:val="24"/>
                <w:highlight w:val="none"/>
                <w:vertAlign w:val="baseline"/>
                <w:lang w:eastAsia="zh-CN"/>
              </w:rPr>
              <w:t>采购项目的名称、数量、简要规格描述或项目基本概况介绍</w:t>
            </w:r>
          </w:p>
        </w:tc>
        <w:tc>
          <w:tcPr>
            <w:tcW w:w="6593" w:type="dxa"/>
            <w:gridSpan w:val="3"/>
            <w:vAlign w:val="center"/>
          </w:tcPr>
          <w:p>
            <w:pPr>
              <w:keepNext w:val="0"/>
              <w:keepLines w:val="0"/>
              <w:pageBreakBefore w:val="0"/>
              <w:kinsoku/>
              <w:overflowPunct/>
              <w:topLinePunct w:val="0"/>
              <w:autoSpaceDE/>
              <w:autoSpaceDN/>
              <w:bidi w:val="0"/>
              <w:adjustRightInd/>
              <w:snapToGrid/>
              <w:spacing w:line="240" w:lineRule="auto"/>
              <w:jc w:val="left"/>
              <w:textAlignment w:val="auto"/>
              <w:rPr>
                <w:rFonts w:hint="eastAsia" w:ascii="宋体" w:hAnsi="宋体" w:eastAsia="宋体" w:cs="宋体"/>
                <w:b w:val="0"/>
                <w:bCs w:val="0"/>
                <w:sz w:val="24"/>
                <w:szCs w:val="24"/>
                <w:highlight w:val="none"/>
                <w:vertAlign w:val="baseline"/>
              </w:rPr>
            </w:pPr>
            <w:r>
              <w:rPr>
                <w:rFonts w:hint="eastAsia" w:ascii="宋体" w:hAnsi="宋体" w:eastAsia="宋体" w:cs="宋体"/>
                <w:b w:val="0"/>
                <w:bCs w:val="0"/>
                <w:sz w:val="24"/>
                <w:szCs w:val="24"/>
                <w:highlight w:val="none"/>
                <w:vertAlign w:val="baseline"/>
              </w:rPr>
              <w:t>1、</w:t>
            </w:r>
            <w:r>
              <w:rPr>
                <w:rFonts w:hint="eastAsia" w:ascii="宋体" w:hAnsi="宋体" w:eastAsia="宋体" w:cs="宋体"/>
                <w:b w:val="0"/>
                <w:bCs w:val="0"/>
                <w:sz w:val="24"/>
                <w:szCs w:val="24"/>
                <w:highlight w:val="none"/>
              </w:rPr>
              <w:t>成都体育学院国家级节约型公共机构示范单位创建咨询服务项目</w:t>
            </w:r>
            <w:r>
              <w:rPr>
                <w:rFonts w:hint="eastAsia" w:ascii="宋体" w:hAnsi="宋体" w:eastAsia="宋体" w:cs="宋体"/>
                <w:b w:val="0"/>
                <w:bCs w:val="0"/>
                <w:sz w:val="24"/>
                <w:szCs w:val="24"/>
                <w:highlight w:val="none"/>
                <w:vertAlign w:val="baseline"/>
                <w:lang w:eastAsia="zh-CN"/>
              </w:rPr>
              <w:t>，成交</w:t>
            </w:r>
            <w:r>
              <w:rPr>
                <w:rFonts w:hint="eastAsia" w:ascii="宋体" w:hAnsi="宋体" w:eastAsia="宋体" w:cs="宋体"/>
                <w:b w:val="0"/>
                <w:bCs w:val="0"/>
                <w:sz w:val="24"/>
                <w:szCs w:val="24"/>
                <w:highlight w:val="none"/>
                <w:vertAlign w:val="baseline"/>
              </w:rPr>
              <w:t>人个数：</w:t>
            </w:r>
            <w:r>
              <w:rPr>
                <w:rFonts w:hint="eastAsia" w:ascii="宋体" w:hAnsi="宋体" w:eastAsia="宋体" w:cs="宋体"/>
                <w:b w:val="0"/>
                <w:bCs w:val="0"/>
                <w:sz w:val="24"/>
                <w:szCs w:val="24"/>
                <w:highlight w:val="none"/>
                <w:vertAlign w:val="baseline"/>
                <w:lang w:val="en-US" w:eastAsia="zh-CN"/>
              </w:rPr>
              <w:t>1</w:t>
            </w:r>
            <w:r>
              <w:rPr>
                <w:rFonts w:hint="eastAsia" w:ascii="宋体" w:hAnsi="宋体" w:eastAsia="宋体" w:cs="宋体"/>
                <w:b w:val="0"/>
                <w:bCs w:val="0"/>
                <w:sz w:val="24"/>
                <w:szCs w:val="24"/>
                <w:highlight w:val="none"/>
                <w:vertAlign w:val="baseline"/>
                <w:lang w:eastAsia="zh-CN"/>
              </w:rPr>
              <w:t>个</w:t>
            </w:r>
            <w:r>
              <w:rPr>
                <w:rFonts w:hint="eastAsia" w:ascii="宋体" w:hAnsi="宋体" w:eastAsia="宋体" w:cs="宋体"/>
                <w:b w:val="0"/>
                <w:bCs w:val="0"/>
                <w:sz w:val="24"/>
                <w:szCs w:val="24"/>
                <w:highlight w:val="none"/>
                <w:vertAlign w:val="baseline"/>
              </w:rPr>
              <w:t>；</w:t>
            </w:r>
          </w:p>
          <w:p>
            <w:pPr>
              <w:keepNext w:val="0"/>
              <w:keepLines w:val="0"/>
              <w:pageBreakBefore w:val="0"/>
              <w:kinsoku/>
              <w:overflowPunct/>
              <w:topLinePunct w:val="0"/>
              <w:autoSpaceDE/>
              <w:autoSpaceDN/>
              <w:bidi w:val="0"/>
              <w:adjustRightInd/>
              <w:snapToGrid/>
              <w:spacing w:line="240" w:lineRule="auto"/>
              <w:jc w:val="left"/>
              <w:textAlignment w:val="auto"/>
              <w:rPr>
                <w:rFonts w:hint="eastAsia" w:ascii="宋体" w:hAnsi="宋体" w:eastAsia="宋体" w:cs="宋体"/>
                <w:b w:val="0"/>
                <w:bCs w:val="0"/>
                <w:sz w:val="24"/>
                <w:szCs w:val="24"/>
                <w:highlight w:val="none"/>
                <w:vertAlign w:val="baseline"/>
                <w:lang w:eastAsia="zh-CN"/>
              </w:rPr>
            </w:pPr>
            <w:r>
              <w:rPr>
                <w:rFonts w:hint="eastAsia" w:ascii="宋体" w:hAnsi="宋体" w:eastAsia="宋体" w:cs="宋体"/>
                <w:b w:val="0"/>
                <w:bCs w:val="0"/>
                <w:sz w:val="24"/>
                <w:szCs w:val="24"/>
                <w:highlight w:val="none"/>
                <w:vertAlign w:val="baseline"/>
              </w:rPr>
              <w:t>2、详见附件。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7" w:hRule="atLeast"/>
        </w:trPr>
        <w:tc>
          <w:tcPr>
            <w:tcW w:w="1929" w:type="dxa"/>
            <w:vAlign w:val="center"/>
          </w:tcPr>
          <w:p>
            <w:pPr>
              <w:keepNext w:val="0"/>
              <w:keepLines w:val="0"/>
              <w:pageBreakBefore w:val="0"/>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4"/>
                <w:szCs w:val="24"/>
                <w:highlight w:val="none"/>
                <w:vertAlign w:val="baseline"/>
                <w:lang w:eastAsia="zh-CN"/>
              </w:rPr>
            </w:pPr>
            <w:r>
              <w:rPr>
                <w:rFonts w:hint="eastAsia" w:ascii="宋体" w:hAnsi="宋体" w:eastAsia="宋体" w:cs="宋体"/>
                <w:b w:val="0"/>
                <w:bCs w:val="0"/>
                <w:sz w:val="24"/>
                <w:szCs w:val="24"/>
                <w:highlight w:val="none"/>
                <w:vertAlign w:val="baseline"/>
                <w:lang w:eastAsia="zh-CN"/>
              </w:rPr>
              <w:t>对供应商资格要求（供应商资格条件）</w:t>
            </w:r>
          </w:p>
        </w:tc>
        <w:tc>
          <w:tcPr>
            <w:tcW w:w="6593" w:type="dxa"/>
            <w:gridSpan w:val="3"/>
            <w:vAlign w:val="center"/>
          </w:tcPr>
          <w:p>
            <w:pPr>
              <w:pStyle w:val="41"/>
              <w:keepNext w:val="0"/>
              <w:keepLines w:val="0"/>
              <w:pageBreakBefore w:val="0"/>
              <w:kinsoku/>
              <w:wordWrap w:val="0"/>
              <w:overflowPunct/>
              <w:topLinePunct w:val="0"/>
              <w:autoSpaceDE/>
              <w:autoSpaceDN/>
              <w:bidi w:val="0"/>
              <w:adjustRightInd/>
              <w:snapToGrid/>
              <w:spacing w:line="240" w:lineRule="auto"/>
              <w:ind w:firstLine="600" w:firstLineChars="25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1、具有独立承担民事责任的能力；</w:t>
            </w:r>
          </w:p>
          <w:p>
            <w:pPr>
              <w:keepNext w:val="0"/>
              <w:keepLines w:val="0"/>
              <w:pageBreakBefore w:val="0"/>
              <w:tabs>
                <w:tab w:val="left" w:pos="7665"/>
              </w:tabs>
              <w:kinsoku/>
              <w:wordWrap w:val="0"/>
              <w:overflowPunct/>
              <w:topLinePunct w:val="0"/>
              <w:autoSpaceDE/>
              <w:autoSpaceDN/>
              <w:bidi w:val="0"/>
              <w:adjustRightInd/>
              <w:snapToGrid/>
              <w:spacing w:line="240" w:lineRule="auto"/>
              <w:ind w:firstLine="600" w:firstLineChars="25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2、具有良好的商业信誉和健全的财务会计制度；</w:t>
            </w:r>
          </w:p>
          <w:p>
            <w:pPr>
              <w:keepNext w:val="0"/>
              <w:keepLines w:val="0"/>
              <w:pageBreakBefore w:val="0"/>
              <w:tabs>
                <w:tab w:val="left" w:pos="7665"/>
              </w:tabs>
              <w:kinsoku/>
              <w:wordWrap w:val="0"/>
              <w:overflowPunct/>
              <w:topLinePunct w:val="0"/>
              <w:autoSpaceDE/>
              <w:autoSpaceDN/>
              <w:bidi w:val="0"/>
              <w:adjustRightInd/>
              <w:snapToGrid/>
              <w:spacing w:line="240" w:lineRule="auto"/>
              <w:ind w:firstLine="600" w:firstLineChars="25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3、具有履行合同所必须的设备和专业技术能力；</w:t>
            </w:r>
          </w:p>
          <w:p>
            <w:pPr>
              <w:keepNext w:val="0"/>
              <w:keepLines w:val="0"/>
              <w:pageBreakBefore w:val="0"/>
              <w:tabs>
                <w:tab w:val="left" w:pos="7665"/>
              </w:tabs>
              <w:kinsoku/>
              <w:wordWrap w:val="0"/>
              <w:overflowPunct/>
              <w:topLinePunct w:val="0"/>
              <w:autoSpaceDE/>
              <w:autoSpaceDN/>
              <w:bidi w:val="0"/>
              <w:adjustRightInd/>
              <w:snapToGrid/>
              <w:spacing w:line="240" w:lineRule="auto"/>
              <w:ind w:firstLine="600" w:firstLineChars="25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4、具有依法缴纳税收和社会保障资金的良好记录；</w:t>
            </w:r>
          </w:p>
          <w:p>
            <w:pPr>
              <w:keepNext w:val="0"/>
              <w:keepLines w:val="0"/>
              <w:pageBreakBefore w:val="0"/>
              <w:tabs>
                <w:tab w:val="left" w:pos="7665"/>
              </w:tabs>
              <w:kinsoku/>
              <w:wordWrap w:val="0"/>
              <w:overflowPunct/>
              <w:topLinePunct w:val="0"/>
              <w:autoSpaceDE/>
              <w:autoSpaceDN/>
              <w:bidi w:val="0"/>
              <w:adjustRightInd/>
              <w:snapToGrid/>
              <w:spacing w:line="240" w:lineRule="auto"/>
              <w:ind w:firstLine="600" w:firstLineChars="25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5、参加本次政府采购活动前三年内，在经营活动中没有重大违法记录；</w:t>
            </w:r>
          </w:p>
          <w:p>
            <w:pPr>
              <w:keepNext w:val="0"/>
              <w:keepLines w:val="0"/>
              <w:pageBreakBefore w:val="0"/>
              <w:tabs>
                <w:tab w:val="left" w:pos="7665"/>
              </w:tabs>
              <w:kinsoku/>
              <w:wordWrap w:val="0"/>
              <w:overflowPunct/>
              <w:topLinePunct w:val="0"/>
              <w:autoSpaceDE/>
              <w:autoSpaceDN/>
              <w:bidi w:val="0"/>
              <w:adjustRightInd/>
              <w:snapToGrid/>
              <w:spacing w:line="240" w:lineRule="auto"/>
              <w:ind w:firstLine="600" w:firstLineChars="25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6、法律、行政法规规定的其他条件；</w:t>
            </w:r>
          </w:p>
          <w:p>
            <w:pPr>
              <w:keepNext w:val="0"/>
              <w:keepLines w:val="0"/>
              <w:pageBreakBefore w:val="0"/>
              <w:tabs>
                <w:tab w:val="left" w:pos="7665"/>
              </w:tabs>
              <w:kinsoku/>
              <w:wordWrap w:val="0"/>
              <w:overflowPunct/>
              <w:topLinePunct w:val="0"/>
              <w:autoSpaceDE/>
              <w:autoSpaceDN/>
              <w:bidi w:val="0"/>
              <w:adjustRightInd/>
              <w:snapToGrid/>
              <w:spacing w:line="240" w:lineRule="auto"/>
              <w:ind w:firstLine="720" w:firstLineChars="3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7、供应商单位及其现任法定代表人、主要负责人不得具有行贿犯罪记录；</w:t>
            </w:r>
          </w:p>
          <w:p>
            <w:pPr>
              <w:keepNext w:val="0"/>
              <w:keepLines w:val="0"/>
              <w:pageBreakBefore w:val="0"/>
              <w:tabs>
                <w:tab w:val="left" w:pos="7665"/>
              </w:tabs>
              <w:kinsoku/>
              <w:wordWrap w:val="0"/>
              <w:overflowPunct/>
              <w:topLinePunct w:val="0"/>
              <w:autoSpaceDE/>
              <w:autoSpaceDN/>
              <w:bidi w:val="0"/>
              <w:adjustRightInd/>
              <w:snapToGrid/>
              <w:spacing w:line="240" w:lineRule="auto"/>
              <w:ind w:firstLine="600" w:firstLineChars="25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8、供应商承诺截止至磋商截止时间前一个工作日，未在“信用中国”网站(</w:t>
            </w:r>
            <w:r>
              <w:rPr>
                <w:rFonts w:hint="eastAsia" w:ascii="宋体" w:hAnsi="宋体" w:eastAsia="宋体" w:cs="宋体"/>
                <w:b w:val="0"/>
                <w:bCs w:val="0"/>
                <w:sz w:val="24"/>
                <w:szCs w:val="24"/>
                <w:highlight w:val="none"/>
              </w:rPr>
              <w:fldChar w:fldCharType="begin"/>
            </w:r>
            <w:r>
              <w:rPr>
                <w:rFonts w:hint="eastAsia" w:ascii="宋体" w:hAnsi="宋体" w:eastAsia="宋体" w:cs="宋体"/>
                <w:b w:val="0"/>
                <w:bCs w:val="0"/>
                <w:sz w:val="24"/>
                <w:szCs w:val="24"/>
                <w:highlight w:val="none"/>
              </w:rPr>
              <w:instrText xml:space="preserve">HYPERLINK"http://www.creditchina.gov.cn"</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highlight w:val="none"/>
              </w:rPr>
              <w:t>www.creditchina.gov.cn</w:t>
            </w:r>
            <w:r>
              <w:rPr>
                <w:rFonts w:hint="eastAsia" w:ascii="宋体" w:hAnsi="宋体" w:eastAsia="宋体" w:cs="宋体"/>
                <w:b w:val="0"/>
                <w:bCs w:val="0"/>
                <w:sz w:val="24"/>
                <w:szCs w:val="24"/>
                <w:highlight w:val="none"/>
              </w:rPr>
              <w:fldChar w:fldCharType="end"/>
            </w:r>
            <w:r>
              <w:rPr>
                <w:rFonts w:hint="eastAsia" w:ascii="宋体" w:hAnsi="宋体" w:eastAsia="宋体" w:cs="宋体"/>
                <w:b w:val="0"/>
                <w:bCs w:val="0"/>
                <w:sz w:val="24"/>
                <w:szCs w:val="24"/>
                <w:highlight w:val="none"/>
              </w:rPr>
              <w:t>)等渠道被列入失信被执行人、重大税收违法案件当事人名单、政府采购严重违法失信行为记录名单。在领取成交通知书时，提供通过“信用中国”网站(www.creditchina.gov.cn)等渠道查询磋商人的信用记录并保存信用记录结果网页截图。如相关失信记录已失效，供应商需提供相关证明资料。若因磋商人为事业单位、团体组织、自然人等原因，在“信用中国”网站等渠道未查询到信息的，视为未被列入失信记录。</w:t>
            </w:r>
          </w:p>
          <w:p>
            <w:pPr>
              <w:keepNext w:val="0"/>
              <w:keepLines w:val="0"/>
              <w:pageBreakBefore w:val="0"/>
              <w:tabs>
                <w:tab w:val="left" w:pos="7665"/>
              </w:tabs>
              <w:kinsoku/>
              <w:wordWrap w:val="0"/>
              <w:overflowPunct/>
              <w:topLinePunct w:val="0"/>
              <w:autoSpaceDE/>
              <w:autoSpaceDN/>
              <w:bidi w:val="0"/>
              <w:adjustRightInd/>
              <w:snapToGrid/>
              <w:spacing w:line="240" w:lineRule="auto"/>
              <w:ind w:firstLine="600" w:firstLineChars="25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9、本项目不允许联合体磋商。</w:t>
            </w:r>
          </w:p>
          <w:p>
            <w:pPr>
              <w:keepNext w:val="0"/>
              <w:keepLines w:val="0"/>
              <w:pageBreakBefore w:val="0"/>
              <w:kinsoku/>
              <w:overflowPunct/>
              <w:topLinePunct w:val="0"/>
              <w:autoSpaceDE/>
              <w:autoSpaceDN/>
              <w:bidi w:val="0"/>
              <w:adjustRightInd/>
              <w:snapToGrid/>
              <w:spacing w:line="240" w:lineRule="auto"/>
              <w:jc w:val="left"/>
              <w:textAlignment w:val="auto"/>
              <w:rPr>
                <w:rFonts w:hint="eastAsia" w:ascii="宋体" w:hAnsi="宋体" w:eastAsia="宋体" w:cs="宋体"/>
                <w:b w:val="0"/>
                <w:bCs w:val="0"/>
                <w:sz w:val="24"/>
                <w:szCs w:val="24"/>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trPr>
        <w:tc>
          <w:tcPr>
            <w:tcW w:w="1929" w:type="dxa"/>
            <w:vAlign w:val="center"/>
          </w:tcPr>
          <w:p>
            <w:pPr>
              <w:keepNext w:val="0"/>
              <w:keepLines w:val="0"/>
              <w:pageBreakBefore w:val="0"/>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4"/>
                <w:szCs w:val="24"/>
                <w:highlight w:val="none"/>
                <w:vertAlign w:val="baseline"/>
                <w:lang w:eastAsia="zh-CN"/>
              </w:rPr>
            </w:pPr>
            <w:r>
              <w:rPr>
                <w:rFonts w:hint="eastAsia" w:ascii="宋体" w:hAnsi="宋体" w:eastAsia="宋体" w:cs="宋体"/>
                <w:b w:val="0"/>
                <w:bCs w:val="0"/>
                <w:sz w:val="24"/>
                <w:szCs w:val="24"/>
                <w:highlight w:val="none"/>
                <w:vertAlign w:val="baseline"/>
                <w:lang w:eastAsia="zh-CN"/>
              </w:rPr>
              <w:t>采购项目需要落实的政府采购政策</w:t>
            </w:r>
          </w:p>
        </w:tc>
        <w:tc>
          <w:tcPr>
            <w:tcW w:w="6593" w:type="dxa"/>
            <w:gridSpan w:val="3"/>
            <w:vAlign w:val="center"/>
          </w:tcPr>
          <w:p>
            <w:pPr>
              <w:keepNext w:val="0"/>
              <w:keepLines w:val="0"/>
              <w:pageBreakBefore w:val="0"/>
              <w:kinsoku/>
              <w:overflowPunct/>
              <w:topLinePunct w:val="0"/>
              <w:autoSpaceDE/>
              <w:autoSpaceDN/>
              <w:bidi w:val="0"/>
              <w:adjustRightInd/>
              <w:snapToGrid/>
              <w:spacing w:line="240" w:lineRule="auto"/>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政府采购促进中小企业发展政策、政府采购支持监狱企业发展政策、促进残疾人就业政府采购政策</w:t>
            </w:r>
            <w:r>
              <w:rPr>
                <w:rFonts w:hint="eastAsia" w:ascii="宋体" w:hAnsi="宋体" w:eastAsia="宋体" w:cs="宋体"/>
                <w:b w:val="0"/>
                <w:bCs w:val="0"/>
                <w:color w:val="auto"/>
                <w:kern w:val="0"/>
                <w:sz w:val="24"/>
                <w:szCs w:val="24"/>
                <w:highlight w:val="none"/>
                <w:lang w:val="zh-CN" w:eastAsia="zh-CN"/>
              </w:rPr>
              <w:t>。</w:t>
            </w:r>
          </w:p>
          <w:p>
            <w:pPr>
              <w:keepNext w:val="0"/>
              <w:keepLines w:val="0"/>
              <w:pageBreakBefore w:val="0"/>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9" w:hRule="atLeast"/>
        </w:trPr>
        <w:tc>
          <w:tcPr>
            <w:tcW w:w="1929" w:type="dxa"/>
            <w:vAlign w:val="center"/>
          </w:tcPr>
          <w:p>
            <w:pPr>
              <w:keepNext w:val="0"/>
              <w:keepLines w:val="0"/>
              <w:pageBreakBefore w:val="0"/>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4"/>
                <w:szCs w:val="24"/>
                <w:highlight w:val="none"/>
                <w:vertAlign w:val="baseline"/>
                <w:lang w:eastAsia="zh-CN"/>
              </w:rPr>
            </w:pPr>
            <w:r>
              <w:rPr>
                <w:rFonts w:hint="eastAsia" w:ascii="宋体" w:hAnsi="宋体" w:eastAsia="宋体" w:cs="宋体"/>
                <w:b w:val="0"/>
                <w:bCs w:val="0"/>
                <w:sz w:val="24"/>
                <w:szCs w:val="24"/>
                <w:highlight w:val="none"/>
                <w:vertAlign w:val="baseline"/>
                <w:lang w:eastAsia="zh-CN"/>
              </w:rPr>
              <w:t>其它补充事宜</w:t>
            </w:r>
          </w:p>
          <w:p>
            <w:pPr>
              <w:keepNext w:val="0"/>
              <w:keepLines w:val="0"/>
              <w:pageBreakBefore w:val="0"/>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4"/>
                <w:szCs w:val="24"/>
                <w:highlight w:val="none"/>
                <w:vertAlign w:val="baseline"/>
                <w:lang w:eastAsia="zh-CN"/>
              </w:rPr>
            </w:pPr>
            <w:r>
              <w:rPr>
                <w:rFonts w:hint="eastAsia" w:ascii="宋体" w:hAnsi="宋体" w:eastAsia="宋体" w:cs="宋体"/>
                <w:b w:val="0"/>
                <w:bCs w:val="0"/>
                <w:sz w:val="24"/>
                <w:szCs w:val="24"/>
                <w:highlight w:val="none"/>
                <w:vertAlign w:val="baseline"/>
                <w:lang w:eastAsia="zh-CN"/>
              </w:rPr>
              <w:t>（即备注）</w:t>
            </w:r>
          </w:p>
        </w:tc>
        <w:tc>
          <w:tcPr>
            <w:tcW w:w="6593" w:type="dxa"/>
            <w:gridSpan w:val="3"/>
            <w:vAlign w:val="center"/>
          </w:tcPr>
          <w:p>
            <w:pPr>
              <w:keepNext w:val="0"/>
              <w:keepLines w:val="0"/>
              <w:pageBreakBefore w:val="0"/>
              <w:kinsoku/>
              <w:overflowPunct/>
              <w:topLinePunct w:val="0"/>
              <w:autoSpaceDE/>
              <w:autoSpaceDN/>
              <w:bidi w:val="0"/>
              <w:adjustRightInd/>
              <w:snapToGrid/>
              <w:spacing w:line="240" w:lineRule="auto"/>
              <w:jc w:val="left"/>
              <w:textAlignment w:val="auto"/>
              <w:rPr>
                <w:rFonts w:hint="eastAsia" w:ascii="宋体" w:hAnsi="宋体" w:eastAsia="宋体" w:cs="宋体"/>
                <w:b w:val="0"/>
                <w:bCs w:val="0"/>
                <w:sz w:val="24"/>
                <w:szCs w:val="24"/>
                <w:highlight w:val="none"/>
                <w:vertAlign w:val="baseline"/>
              </w:rPr>
            </w:pPr>
            <w:r>
              <w:rPr>
                <w:rFonts w:hint="eastAsia" w:ascii="宋体" w:hAnsi="宋体" w:eastAsia="宋体" w:cs="宋体"/>
                <w:b w:val="0"/>
                <w:bCs w:val="0"/>
                <w:sz w:val="24"/>
                <w:szCs w:val="24"/>
                <w:highlight w:val="none"/>
                <w:vertAlign w:val="baseline"/>
              </w:rPr>
              <w:t>1、本采购公告的公告期限为</w:t>
            </w:r>
            <w:r>
              <w:rPr>
                <w:rFonts w:hint="eastAsia" w:ascii="宋体" w:hAnsi="宋体" w:eastAsia="宋体" w:cs="宋体"/>
                <w:b w:val="0"/>
                <w:bCs w:val="0"/>
                <w:sz w:val="24"/>
                <w:szCs w:val="24"/>
                <w:highlight w:val="none"/>
                <w:vertAlign w:val="baseline"/>
                <w:lang w:val="en-US" w:eastAsia="zh-CN"/>
              </w:rPr>
              <w:t>3</w:t>
            </w:r>
            <w:r>
              <w:rPr>
                <w:rFonts w:hint="eastAsia" w:ascii="宋体" w:hAnsi="宋体" w:eastAsia="宋体" w:cs="宋体"/>
                <w:b w:val="0"/>
                <w:bCs w:val="0"/>
                <w:sz w:val="24"/>
                <w:szCs w:val="24"/>
                <w:highlight w:val="none"/>
                <w:vertAlign w:val="baseline"/>
              </w:rPr>
              <w:t>个工作日；</w:t>
            </w:r>
          </w:p>
          <w:p>
            <w:pPr>
              <w:keepNext w:val="0"/>
              <w:keepLines w:val="0"/>
              <w:pageBreakBefore w:val="0"/>
              <w:kinsoku/>
              <w:overflowPunct/>
              <w:topLinePunct w:val="0"/>
              <w:autoSpaceDE/>
              <w:autoSpaceDN/>
              <w:bidi w:val="0"/>
              <w:adjustRightInd/>
              <w:snapToGrid/>
              <w:spacing w:line="240" w:lineRule="auto"/>
              <w:jc w:val="left"/>
              <w:textAlignment w:val="auto"/>
              <w:rPr>
                <w:rFonts w:hint="eastAsia" w:ascii="宋体" w:hAnsi="宋体" w:eastAsia="宋体" w:cs="宋体"/>
                <w:b w:val="0"/>
                <w:bCs w:val="0"/>
                <w:sz w:val="24"/>
                <w:szCs w:val="24"/>
                <w:highlight w:val="none"/>
                <w:vertAlign w:val="baseline"/>
                <w:lang w:eastAsia="zh-CN"/>
              </w:rPr>
            </w:pPr>
            <w:r>
              <w:rPr>
                <w:rFonts w:hint="eastAsia" w:ascii="宋体" w:hAnsi="宋体" w:eastAsia="宋体" w:cs="宋体"/>
                <w:b w:val="0"/>
                <w:bCs w:val="0"/>
                <w:sz w:val="24"/>
                <w:szCs w:val="24"/>
                <w:highlight w:val="none"/>
                <w:vertAlign w:val="baseline"/>
              </w:rPr>
              <w:t>2、预算：</w:t>
            </w:r>
            <w:r>
              <w:rPr>
                <w:rFonts w:hint="eastAsia" w:ascii="宋体" w:hAnsi="宋体" w:eastAsia="宋体" w:cs="宋体"/>
                <w:b w:val="0"/>
                <w:bCs w:val="0"/>
                <w:sz w:val="24"/>
                <w:szCs w:val="24"/>
                <w:highlight w:val="none"/>
                <w:vertAlign w:val="baseline"/>
                <w:lang w:val="en-US" w:eastAsia="zh-CN"/>
              </w:rPr>
              <w:t>9.8</w:t>
            </w:r>
            <w:r>
              <w:rPr>
                <w:rFonts w:hint="eastAsia" w:ascii="宋体" w:hAnsi="宋体" w:eastAsia="宋体" w:cs="宋体"/>
                <w:b w:val="0"/>
                <w:bCs w:val="0"/>
                <w:sz w:val="24"/>
                <w:szCs w:val="24"/>
                <w:highlight w:val="none"/>
                <w:vertAlign w:val="baseline"/>
                <w:lang w:eastAsia="zh-CN"/>
              </w:rPr>
              <w:t>万元。</w:t>
            </w:r>
          </w:p>
          <w:p>
            <w:pPr>
              <w:keepNext w:val="0"/>
              <w:keepLines w:val="0"/>
              <w:pageBreakBefore w:val="0"/>
              <w:kinsoku/>
              <w:overflowPunct/>
              <w:topLinePunct w:val="0"/>
              <w:autoSpaceDE/>
              <w:autoSpaceDN/>
              <w:bidi w:val="0"/>
              <w:adjustRightInd/>
              <w:snapToGrid/>
              <w:spacing w:line="240" w:lineRule="auto"/>
              <w:jc w:val="left"/>
              <w:textAlignment w:val="auto"/>
              <w:rPr>
                <w:rFonts w:hint="eastAsia" w:ascii="宋体" w:hAnsi="宋体" w:eastAsia="宋体" w:cs="宋体"/>
                <w:b w:val="0"/>
                <w:bCs w:val="0"/>
                <w:sz w:val="24"/>
                <w:szCs w:val="24"/>
                <w:highlight w:val="none"/>
                <w:vertAlign w:val="baseline"/>
                <w:lang w:val="en-US" w:eastAsia="zh-CN"/>
              </w:rPr>
            </w:pPr>
          </w:p>
        </w:tc>
      </w:tr>
    </w:tbl>
    <w:p/>
    <w:p>
      <w:pPr>
        <w:rPr>
          <w:rFonts w:hint="eastAsia"/>
          <w:lang w:eastAsia="zh-CN"/>
        </w:rPr>
      </w:pPr>
      <w:r>
        <w:rPr>
          <w:rFonts w:hint="eastAsia"/>
          <w:lang w:eastAsia="zh-CN"/>
        </w:rPr>
        <w:t>附件：</w:t>
      </w:r>
    </w:p>
    <w:p>
      <w:pPr>
        <w:spacing w:line="400" w:lineRule="exact"/>
        <w:ind w:firstLine="482" w:firstLineChars="200"/>
        <w:rPr>
          <w:rFonts w:hint="eastAsia" w:hAnsi="宋体" w:cs="宋体"/>
          <w:b/>
          <w:bCs/>
          <w:color w:val="000000"/>
          <w:sz w:val="24"/>
          <w:szCs w:val="24"/>
        </w:rPr>
      </w:pPr>
      <w:r>
        <w:rPr>
          <w:rFonts w:hint="eastAsia" w:hAnsi="宋体" w:cs="宋体"/>
          <w:b/>
          <w:bCs/>
          <w:color w:val="000000"/>
          <w:sz w:val="24"/>
          <w:szCs w:val="24"/>
        </w:rPr>
        <w:t>一、采购项目内容★</w:t>
      </w:r>
    </w:p>
    <w:p>
      <w:pPr>
        <w:widowControl/>
        <w:spacing w:line="400" w:lineRule="exact"/>
        <w:ind w:firstLine="480" w:firstLineChars="200"/>
        <w:jc w:val="left"/>
        <w:rPr>
          <w:rFonts w:hint="eastAsia" w:hAnsi="宋体" w:cs="宋体"/>
          <w:sz w:val="24"/>
          <w:szCs w:val="24"/>
        </w:rPr>
      </w:pPr>
      <w:r>
        <w:rPr>
          <w:rFonts w:hint="eastAsia" w:hAnsi="宋体" w:cs="宋体"/>
          <w:sz w:val="24"/>
          <w:szCs w:val="24"/>
        </w:rPr>
        <w:t>1.开展成都体育学院能源审计工作。</w:t>
      </w:r>
    </w:p>
    <w:p>
      <w:pPr>
        <w:widowControl/>
        <w:spacing w:line="400" w:lineRule="exact"/>
        <w:ind w:firstLine="480" w:firstLineChars="200"/>
        <w:jc w:val="left"/>
        <w:rPr>
          <w:rFonts w:hint="eastAsia" w:hAnsi="宋体" w:cs="宋体"/>
          <w:sz w:val="24"/>
          <w:szCs w:val="24"/>
        </w:rPr>
      </w:pPr>
      <w:r>
        <w:rPr>
          <w:rFonts w:hint="eastAsia" w:hAnsi="宋体" w:cs="宋体"/>
          <w:sz w:val="24"/>
          <w:szCs w:val="24"/>
        </w:rPr>
        <w:t>2.开展水平衡测试工作，并出具水平衡测试报告。</w:t>
      </w:r>
    </w:p>
    <w:p>
      <w:pPr>
        <w:widowControl/>
        <w:spacing w:line="400" w:lineRule="exact"/>
        <w:ind w:firstLine="480" w:firstLineChars="200"/>
        <w:jc w:val="left"/>
        <w:rPr>
          <w:rFonts w:hint="eastAsia" w:hAnsi="宋体" w:cs="宋体"/>
          <w:sz w:val="24"/>
          <w:szCs w:val="24"/>
        </w:rPr>
      </w:pPr>
      <w:r>
        <w:rPr>
          <w:rFonts w:hint="eastAsia" w:hAnsi="宋体" w:cs="宋体"/>
          <w:sz w:val="24"/>
          <w:szCs w:val="24"/>
        </w:rPr>
        <w:t>3.“国家级节约型公共机构示范单位”创建工作技术咨询及最终编写形成整套汇编资料。</w:t>
      </w:r>
    </w:p>
    <w:p>
      <w:pPr>
        <w:ind w:firstLine="482" w:firstLineChars="200"/>
        <w:rPr>
          <w:rFonts w:hint="eastAsia" w:hAnsi="宋体" w:cs="宋体"/>
          <w:b/>
          <w:bCs/>
          <w:color w:val="000000"/>
          <w:sz w:val="24"/>
          <w:szCs w:val="24"/>
        </w:rPr>
      </w:pPr>
      <w:r>
        <w:rPr>
          <w:rFonts w:hint="eastAsia" w:hAnsi="宋体" w:cs="宋体"/>
          <w:b/>
          <w:bCs/>
          <w:color w:val="000000"/>
          <w:sz w:val="24"/>
          <w:szCs w:val="24"/>
        </w:rPr>
        <w:t>二、服务内容及总体要求</w:t>
      </w:r>
    </w:p>
    <w:tbl>
      <w:tblPr>
        <w:tblStyle w:val="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2382"/>
        <w:gridCol w:w="5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915" w:type="dxa"/>
            <w:tcBorders>
              <w:top w:val="single" w:color="auto" w:sz="4" w:space="0"/>
              <w:left w:val="single" w:color="auto" w:sz="4" w:space="0"/>
              <w:bottom w:val="single" w:color="auto" w:sz="4" w:space="0"/>
              <w:right w:val="single" w:color="auto" w:sz="4" w:space="0"/>
            </w:tcBorders>
            <w:noWrap w:val="0"/>
            <w:vAlign w:val="center"/>
          </w:tcPr>
          <w:p>
            <w:pPr>
              <w:pStyle w:val="2"/>
              <w:spacing w:after="0"/>
              <w:jc w:val="center"/>
              <w:rPr>
                <w:rFonts w:hint="eastAsia" w:ascii="宋体" w:hAnsi="宋体" w:cs="宋体"/>
                <w:b/>
                <w:bCs/>
                <w:kern w:val="0"/>
                <w:sz w:val="24"/>
              </w:rPr>
            </w:pPr>
            <w:r>
              <w:rPr>
                <w:rFonts w:hint="eastAsia" w:ascii="宋体" w:hAnsi="宋体" w:cs="宋体"/>
                <w:b/>
                <w:bCs/>
                <w:kern w:val="0"/>
                <w:sz w:val="24"/>
              </w:rPr>
              <w:t>序号</w:t>
            </w:r>
          </w:p>
        </w:tc>
        <w:tc>
          <w:tcPr>
            <w:tcW w:w="2382" w:type="dxa"/>
            <w:tcBorders>
              <w:top w:val="single" w:color="auto" w:sz="4" w:space="0"/>
              <w:left w:val="single" w:color="auto" w:sz="4" w:space="0"/>
              <w:bottom w:val="single" w:color="auto" w:sz="4" w:space="0"/>
              <w:right w:val="single" w:color="auto" w:sz="4" w:space="0"/>
            </w:tcBorders>
            <w:noWrap w:val="0"/>
            <w:vAlign w:val="center"/>
          </w:tcPr>
          <w:p>
            <w:pPr>
              <w:pStyle w:val="2"/>
              <w:spacing w:after="0"/>
              <w:jc w:val="center"/>
              <w:rPr>
                <w:rFonts w:hint="eastAsia" w:ascii="宋体" w:hAnsi="宋体" w:cs="宋体"/>
                <w:b/>
                <w:bCs/>
                <w:kern w:val="0"/>
                <w:sz w:val="24"/>
              </w:rPr>
            </w:pPr>
            <w:r>
              <w:rPr>
                <w:rFonts w:hint="eastAsia" w:ascii="宋体" w:hAnsi="宋体" w:cs="宋体"/>
                <w:b/>
                <w:bCs/>
                <w:kern w:val="0"/>
                <w:sz w:val="24"/>
              </w:rPr>
              <w:t>项目名称</w:t>
            </w:r>
          </w:p>
        </w:tc>
        <w:tc>
          <w:tcPr>
            <w:tcW w:w="5225" w:type="dxa"/>
            <w:tcBorders>
              <w:top w:val="single" w:color="auto" w:sz="4" w:space="0"/>
              <w:left w:val="single" w:color="auto" w:sz="4" w:space="0"/>
              <w:bottom w:val="single" w:color="auto" w:sz="4" w:space="0"/>
              <w:right w:val="single" w:color="auto" w:sz="4" w:space="0"/>
            </w:tcBorders>
            <w:noWrap w:val="0"/>
            <w:vAlign w:val="center"/>
          </w:tcPr>
          <w:p>
            <w:pPr>
              <w:pStyle w:val="2"/>
              <w:spacing w:after="0"/>
              <w:jc w:val="center"/>
              <w:rPr>
                <w:rFonts w:hint="eastAsia" w:ascii="宋体" w:hAnsi="宋体" w:cs="宋体"/>
                <w:b/>
                <w:bCs/>
                <w:kern w:val="0"/>
                <w:sz w:val="24"/>
              </w:rPr>
            </w:pPr>
            <w:r>
              <w:rPr>
                <w:rFonts w:hint="eastAsia" w:ascii="宋体" w:hAnsi="宋体" w:cs="宋体"/>
                <w:b/>
                <w:bCs/>
                <w:kern w:val="0"/>
                <w:sz w:val="24"/>
              </w:rPr>
              <w:t>总体要求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5" w:type="dxa"/>
            <w:tcBorders>
              <w:top w:val="single" w:color="auto" w:sz="4" w:space="0"/>
              <w:left w:val="single" w:color="auto" w:sz="4" w:space="0"/>
              <w:bottom w:val="single" w:color="auto" w:sz="4" w:space="0"/>
              <w:right w:val="single" w:color="auto" w:sz="4" w:space="0"/>
            </w:tcBorders>
            <w:noWrap w:val="0"/>
            <w:vAlign w:val="center"/>
          </w:tcPr>
          <w:p>
            <w:pPr>
              <w:pStyle w:val="2"/>
              <w:spacing w:after="0"/>
              <w:jc w:val="center"/>
              <w:rPr>
                <w:rFonts w:hint="eastAsia" w:ascii="宋体" w:hAnsi="宋体" w:cs="宋体"/>
                <w:kern w:val="0"/>
                <w:sz w:val="24"/>
              </w:rPr>
            </w:pPr>
            <w:r>
              <w:rPr>
                <w:rFonts w:hint="eastAsia" w:ascii="宋体" w:hAnsi="宋体" w:cs="宋体"/>
                <w:kern w:val="0"/>
                <w:sz w:val="24"/>
              </w:rPr>
              <w:t>1</w:t>
            </w:r>
          </w:p>
        </w:tc>
        <w:tc>
          <w:tcPr>
            <w:tcW w:w="2382"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hAnsi="宋体" w:cs="宋体"/>
                <w:sz w:val="24"/>
                <w:szCs w:val="24"/>
              </w:rPr>
            </w:pPr>
            <w:r>
              <w:rPr>
                <w:rFonts w:hint="eastAsia" w:hAnsi="宋体" w:cs="宋体"/>
                <w:color w:val="000000"/>
                <w:sz w:val="24"/>
                <w:szCs w:val="24"/>
                <w:lang w:bidi="ar"/>
              </w:rPr>
              <w:t>能源审计</w:t>
            </w:r>
          </w:p>
        </w:tc>
        <w:tc>
          <w:tcPr>
            <w:tcW w:w="5225"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eastAsia" w:hAnsi="宋体" w:cs="宋体"/>
                <w:color w:val="000000"/>
                <w:sz w:val="24"/>
                <w:szCs w:val="24"/>
                <w:lang w:bidi="ar"/>
              </w:rPr>
            </w:pPr>
            <w:r>
              <w:rPr>
                <w:rFonts w:hint="eastAsia" w:hAnsi="宋体" w:cs="宋体"/>
                <w:color w:val="000000"/>
                <w:sz w:val="24"/>
                <w:szCs w:val="24"/>
                <w:lang w:bidi="ar"/>
              </w:rPr>
              <w:t>1.查阅建筑物竣工验收资料和用能系统、设备台账资料，检查节能设计标准的执行情况；</w:t>
            </w:r>
          </w:p>
          <w:p>
            <w:pPr>
              <w:widowControl/>
              <w:jc w:val="left"/>
              <w:textAlignment w:val="center"/>
              <w:rPr>
                <w:rFonts w:hint="eastAsia" w:hAnsi="宋体" w:cs="宋体"/>
                <w:color w:val="000000"/>
                <w:sz w:val="24"/>
                <w:szCs w:val="24"/>
                <w:lang w:bidi="ar"/>
              </w:rPr>
            </w:pPr>
            <w:r>
              <w:rPr>
                <w:rFonts w:hint="eastAsia" w:hAnsi="宋体" w:cs="宋体"/>
                <w:color w:val="000000"/>
                <w:sz w:val="24"/>
                <w:szCs w:val="24"/>
                <w:lang w:bidi="ar"/>
              </w:rPr>
              <w:t>2.核对电、气、煤、油、市政热力等能源消耗计量记录和财务账单，评估分类与分项的总能耗、人均能耗和单位建筑面积能耗；</w:t>
            </w:r>
          </w:p>
          <w:p>
            <w:pPr>
              <w:widowControl/>
              <w:jc w:val="left"/>
              <w:textAlignment w:val="center"/>
              <w:rPr>
                <w:rFonts w:hint="eastAsia" w:hAnsi="宋体" w:cs="宋体"/>
                <w:color w:val="000000"/>
                <w:sz w:val="24"/>
                <w:szCs w:val="24"/>
                <w:lang w:bidi="ar"/>
              </w:rPr>
            </w:pPr>
            <w:r>
              <w:rPr>
                <w:rFonts w:hint="eastAsia" w:hAnsi="宋体" w:cs="宋体"/>
                <w:color w:val="000000"/>
                <w:sz w:val="24"/>
                <w:szCs w:val="24"/>
                <w:lang w:bidi="ar"/>
              </w:rPr>
              <w:t>3.检查用能系统、设备的运行状况，审查节能管理制度执行情况；</w:t>
            </w:r>
          </w:p>
          <w:p>
            <w:pPr>
              <w:widowControl/>
              <w:jc w:val="left"/>
              <w:textAlignment w:val="center"/>
              <w:rPr>
                <w:rFonts w:hint="eastAsia" w:hAnsi="宋体" w:cs="宋体"/>
                <w:color w:val="000000"/>
                <w:sz w:val="24"/>
                <w:szCs w:val="24"/>
                <w:lang w:bidi="ar"/>
              </w:rPr>
            </w:pPr>
            <w:r>
              <w:rPr>
                <w:rFonts w:hint="eastAsia" w:hAnsi="宋体" w:cs="宋体"/>
                <w:color w:val="000000"/>
                <w:sz w:val="24"/>
                <w:szCs w:val="24"/>
                <w:lang w:bidi="ar"/>
              </w:rPr>
              <w:t>4.审查能源计量器具的运行情况，检查能耗统计数据的真实性、准确性；</w:t>
            </w:r>
          </w:p>
          <w:p>
            <w:pPr>
              <w:widowControl/>
              <w:jc w:val="left"/>
              <w:textAlignment w:val="center"/>
              <w:rPr>
                <w:rFonts w:hint="eastAsia" w:hAnsi="宋体" w:cs="宋体"/>
                <w:color w:val="000000"/>
                <w:sz w:val="24"/>
                <w:szCs w:val="24"/>
                <w:lang w:bidi="ar"/>
              </w:rPr>
            </w:pPr>
            <w:r>
              <w:rPr>
                <w:rFonts w:hint="eastAsia" w:hAnsi="宋体" w:cs="宋体"/>
                <w:color w:val="000000"/>
                <w:sz w:val="24"/>
                <w:szCs w:val="24"/>
                <w:lang w:bidi="ar"/>
              </w:rPr>
              <w:t>5.查找存在节能潜力的用能环节或者部位，提出合理使用能源的建议；</w:t>
            </w:r>
          </w:p>
          <w:p>
            <w:pPr>
              <w:widowControl/>
              <w:jc w:val="left"/>
              <w:textAlignment w:val="center"/>
              <w:rPr>
                <w:rFonts w:hint="eastAsia" w:hAnsi="宋体" w:cs="宋体"/>
                <w:sz w:val="24"/>
                <w:szCs w:val="24"/>
              </w:rPr>
            </w:pPr>
            <w:r>
              <w:rPr>
                <w:rFonts w:hint="eastAsia" w:hAnsi="宋体" w:cs="宋体"/>
                <w:color w:val="000000"/>
                <w:sz w:val="24"/>
                <w:szCs w:val="24"/>
                <w:lang w:bidi="ar"/>
              </w:rPr>
              <w:t>★6.出具包含建筑能耗情况、节能潜力分析、审计结论的审计报告。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5" w:type="dxa"/>
            <w:tcBorders>
              <w:top w:val="single" w:color="auto" w:sz="4" w:space="0"/>
              <w:left w:val="single" w:color="auto" w:sz="4" w:space="0"/>
              <w:bottom w:val="single" w:color="auto" w:sz="4" w:space="0"/>
              <w:right w:val="single" w:color="auto" w:sz="4" w:space="0"/>
            </w:tcBorders>
            <w:noWrap w:val="0"/>
            <w:vAlign w:val="center"/>
          </w:tcPr>
          <w:p>
            <w:pPr>
              <w:pStyle w:val="2"/>
              <w:spacing w:after="0"/>
              <w:jc w:val="center"/>
              <w:rPr>
                <w:rFonts w:hint="eastAsia" w:ascii="宋体" w:hAnsi="宋体" w:cs="宋体"/>
                <w:kern w:val="0"/>
                <w:sz w:val="24"/>
              </w:rPr>
            </w:pPr>
            <w:r>
              <w:rPr>
                <w:rFonts w:hint="eastAsia" w:ascii="宋体" w:hAnsi="宋体" w:cs="宋体"/>
                <w:kern w:val="0"/>
                <w:sz w:val="24"/>
              </w:rPr>
              <w:t>2</w:t>
            </w:r>
          </w:p>
        </w:tc>
        <w:tc>
          <w:tcPr>
            <w:tcW w:w="2382"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hAnsi="宋体" w:cs="宋体"/>
                <w:sz w:val="24"/>
                <w:szCs w:val="24"/>
              </w:rPr>
            </w:pPr>
            <w:r>
              <w:rPr>
                <w:rFonts w:hint="eastAsia" w:hAnsi="宋体" w:cs="宋体"/>
                <w:color w:val="000000"/>
                <w:sz w:val="24"/>
                <w:szCs w:val="24"/>
                <w:lang w:bidi="ar"/>
              </w:rPr>
              <w:t>水平衡测试</w:t>
            </w:r>
          </w:p>
        </w:tc>
        <w:tc>
          <w:tcPr>
            <w:tcW w:w="5225"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eastAsia" w:hAnsi="宋体" w:cs="宋体"/>
                <w:color w:val="000000"/>
                <w:sz w:val="24"/>
                <w:szCs w:val="24"/>
                <w:lang w:bidi="ar"/>
              </w:rPr>
            </w:pPr>
            <w:r>
              <w:rPr>
                <w:rFonts w:hint="eastAsia" w:hAnsi="宋体" w:cs="宋体"/>
                <w:color w:val="000000"/>
                <w:sz w:val="24"/>
                <w:szCs w:val="24"/>
                <w:lang w:bidi="ar"/>
              </w:rPr>
              <w:t>1.掌握单位用水现状，对单位用水现状进行合理化分析,健全单位用水计量仪表；</w:t>
            </w:r>
          </w:p>
          <w:p>
            <w:pPr>
              <w:widowControl/>
              <w:jc w:val="left"/>
              <w:textAlignment w:val="center"/>
              <w:rPr>
                <w:rFonts w:hint="eastAsia" w:hAnsi="宋体" w:cs="宋体"/>
                <w:color w:val="000000"/>
                <w:sz w:val="24"/>
                <w:szCs w:val="24"/>
                <w:lang w:bidi="ar"/>
              </w:rPr>
            </w:pPr>
            <w:r>
              <w:rPr>
                <w:rFonts w:hint="eastAsia" w:hAnsi="宋体" w:cs="宋体"/>
                <w:color w:val="000000"/>
                <w:sz w:val="24"/>
                <w:szCs w:val="24"/>
                <w:lang w:bidi="ar"/>
              </w:rPr>
              <w:t>2.依据掌握的资料和获取的数据进行计算、分析、评价有关用水技术经济指标，找出薄弱环节和节水潜力，制订出切实可行的技术、管理措施和规划，编制水平衡测试总结报告，包括测试方法、测试程序、历年用水情况、用水器具情况、管网漏水测试、漏失率等；</w:t>
            </w:r>
          </w:p>
          <w:p>
            <w:pPr>
              <w:widowControl/>
              <w:jc w:val="left"/>
              <w:textAlignment w:val="center"/>
              <w:rPr>
                <w:rFonts w:hint="eastAsia" w:hAnsi="宋体" w:cs="宋体"/>
                <w:color w:val="000000"/>
                <w:sz w:val="24"/>
                <w:szCs w:val="24"/>
                <w:lang w:bidi="ar"/>
              </w:rPr>
            </w:pPr>
            <w:r>
              <w:rPr>
                <w:rFonts w:hint="eastAsia" w:hAnsi="宋体" w:cs="宋体"/>
                <w:color w:val="000000"/>
                <w:sz w:val="24"/>
                <w:szCs w:val="24"/>
                <w:lang w:bidi="ar"/>
              </w:rPr>
              <w:t>★3.根据水平衡测试原理设计一、二级水表安装点位方案，并在我单位安装水表时提供指导协助。</w:t>
            </w:r>
          </w:p>
          <w:p>
            <w:pPr>
              <w:widowControl/>
              <w:jc w:val="left"/>
              <w:textAlignment w:val="center"/>
              <w:rPr>
                <w:rFonts w:hint="eastAsia" w:hAnsi="宋体" w:cs="宋体"/>
                <w:sz w:val="24"/>
                <w:szCs w:val="24"/>
              </w:rPr>
            </w:pPr>
            <w:r>
              <w:rPr>
                <w:rFonts w:hint="eastAsia" w:hAnsi="宋体" w:cs="宋体"/>
                <w:color w:val="000000"/>
                <w:sz w:val="24"/>
                <w:szCs w:val="24"/>
                <w:lang w:bidi="ar"/>
              </w:rPr>
              <w:t>★4.按水平衡测试技术通则开展水平衡测试，出具包含供水计量器具配置表、计量器具网络图、水资源消耗平衡分析的水平衡测试报告。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5" w:type="dxa"/>
            <w:tcBorders>
              <w:top w:val="single" w:color="auto" w:sz="4" w:space="0"/>
              <w:left w:val="single" w:color="auto" w:sz="4" w:space="0"/>
              <w:bottom w:val="single" w:color="auto" w:sz="4" w:space="0"/>
              <w:right w:val="single" w:color="auto" w:sz="4" w:space="0"/>
            </w:tcBorders>
            <w:noWrap w:val="0"/>
            <w:vAlign w:val="center"/>
          </w:tcPr>
          <w:p>
            <w:pPr>
              <w:pStyle w:val="2"/>
              <w:spacing w:after="0"/>
              <w:jc w:val="center"/>
              <w:rPr>
                <w:rFonts w:hint="eastAsia" w:ascii="宋体" w:hAnsi="宋体" w:cs="宋体"/>
                <w:kern w:val="0"/>
                <w:sz w:val="24"/>
              </w:rPr>
            </w:pPr>
            <w:r>
              <w:rPr>
                <w:rFonts w:hint="eastAsia" w:ascii="宋体" w:hAnsi="宋体" w:cs="宋体"/>
                <w:kern w:val="0"/>
                <w:sz w:val="24"/>
              </w:rPr>
              <w:t>3</w:t>
            </w:r>
          </w:p>
        </w:tc>
        <w:tc>
          <w:tcPr>
            <w:tcW w:w="2382"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hAnsi="宋体" w:cs="宋体"/>
                <w:sz w:val="24"/>
                <w:szCs w:val="24"/>
              </w:rPr>
            </w:pPr>
            <w:r>
              <w:rPr>
                <w:rFonts w:hint="eastAsia" w:hAnsi="宋体" w:cs="宋体"/>
                <w:color w:val="000000"/>
                <w:sz w:val="24"/>
                <w:szCs w:val="24"/>
                <w:lang w:bidi="ar"/>
              </w:rPr>
              <w:t>技术指导及资料汇编</w:t>
            </w:r>
          </w:p>
        </w:tc>
        <w:tc>
          <w:tcPr>
            <w:tcW w:w="5225"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eastAsia" w:hAnsi="宋体" w:cs="宋体"/>
                <w:color w:val="000000"/>
                <w:sz w:val="24"/>
                <w:szCs w:val="24"/>
                <w:lang w:bidi="ar"/>
              </w:rPr>
            </w:pPr>
            <w:r>
              <w:rPr>
                <w:rFonts w:hint="eastAsia" w:hAnsi="宋体" w:cs="宋体"/>
                <w:color w:val="000000"/>
                <w:sz w:val="24"/>
                <w:szCs w:val="24"/>
                <w:lang w:bidi="ar"/>
              </w:rPr>
              <w:t>1.现场调研、开展预估评分工作；</w:t>
            </w:r>
          </w:p>
          <w:p>
            <w:pPr>
              <w:widowControl/>
              <w:jc w:val="left"/>
              <w:textAlignment w:val="center"/>
              <w:rPr>
                <w:rFonts w:hint="eastAsia" w:hAnsi="宋体" w:cs="宋体"/>
                <w:color w:val="000000"/>
                <w:sz w:val="24"/>
                <w:szCs w:val="24"/>
                <w:lang w:bidi="ar"/>
              </w:rPr>
            </w:pPr>
            <w:r>
              <w:rPr>
                <w:rFonts w:hint="eastAsia" w:hAnsi="宋体" w:cs="宋体"/>
                <w:color w:val="000000"/>
                <w:sz w:val="24"/>
                <w:szCs w:val="24"/>
                <w:lang w:bidi="ar"/>
              </w:rPr>
              <w:t>2.根据预估评分情况制定整改方案以达到验收合格分数；</w:t>
            </w:r>
          </w:p>
          <w:p>
            <w:pPr>
              <w:widowControl/>
              <w:jc w:val="left"/>
              <w:textAlignment w:val="center"/>
              <w:rPr>
                <w:rFonts w:hint="eastAsia" w:hAnsi="宋体" w:cs="宋体"/>
                <w:color w:val="000000"/>
                <w:sz w:val="24"/>
                <w:szCs w:val="24"/>
                <w:lang w:bidi="ar"/>
              </w:rPr>
            </w:pPr>
            <w:r>
              <w:rPr>
                <w:rFonts w:hint="eastAsia" w:hAnsi="宋体" w:cs="宋体"/>
                <w:color w:val="000000"/>
                <w:sz w:val="24"/>
                <w:szCs w:val="24"/>
                <w:lang w:bidi="ar"/>
              </w:rPr>
              <w:t>3.创建工作中的全程技术咨询服务；</w:t>
            </w:r>
          </w:p>
          <w:p>
            <w:pPr>
              <w:widowControl/>
              <w:jc w:val="left"/>
              <w:textAlignment w:val="center"/>
              <w:rPr>
                <w:rFonts w:hint="eastAsia" w:hAnsi="宋体" w:cs="宋体"/>
                <w:color w:val="000000"/>
                <w:sz w:val="24"/>
                <w:szCs w:val="24"/>
                <w:lang w:bidi="ar"/>
              </w:rPr>
            </w:pPr>
            <w:r>
              <w:rPr>
                <w:rFonts w:hint="eastAsia" w:hAnsi="宋体" w:cs="宋体"/>
                <w:color w:val="000000"/>
                <w:sz w:val="24"/>
                <w:szCs w:val="24"/>
                <w:lang w:bidi="ar"/>
              </w:rPr>
              <w:t>★4.最终制作汇编资料6套；</w:t>
            </w:r>
          </w:p>
        </w:tc>
      </w:tr>
    </w:tbl>
    <w:p>
      <w:pPr>
        <w:pStyle w:val="4"/>
        <w:rPr>
          <w:rFonts w:hint="eastAsia"/>
        </w:rPr>
      </w:pPr>
    </w:p>
    <w:p>
      <w:pPr>
        <w:spacing w:line="400" w:lineRule="exact"/>
        <w:ind w:firstLine="482" w:firstLineChars="200"/>
        <w:rPr>
          <w:rFonts w:hint="eastAsia" w:hAnsi="宋体" w:cs="宋体"/>
          <w:b/>
          <w:bCs/>
          <w:color w:val="000000"/>
          <w:sz w:val="24"/>
          <w:szCs w:val="24"/>
        </w:rPr>
      </w:pPr>
      <w:r>
        <w:rPr>
          <w:rFonts w:hint="eastAsia" w:hAnsi="宋体" w:cs="宋体"/>
          <w:b/>
          <w:bCs/>
          <w:color w:val="000000"/>
          <w:sz w:val="24"/>
          <w:szCs w:val="24"/>
        </w:rPr>
        <w:t>三、商务要求★</w:t>
      </w:r>
    </w:p>
    <w:p>
      <w:pPr>
        <w:spacing w:line="400" w:lineRule="exact"/>
        <w:ind w:firstLine="482" w:firstLineChars="200"/>
        <w:jc w:val="left"/>
        <w:rPr>
          <w:rFonts w:hint="eastAsia" w:hAnsi="宋体" w:cs="宋体"/>
          <w:b/>
          <w:sz w:val="24"/>
          <w:szCs w:val="24"/>
        </w:rPr>
      </w:pPr>
      <w:r>
        <w:rPr>
          <w:rFonts w:hint="eastAsia" w:hAnsi="宋体" w:cs="宋体"/>
          <w:b/>
          <w:sz w:val="24"/>
          <w:szCs w:val="24"/>
        </w:rPr>
        <w:t>1、服务期限：合同签订之日起至采购人通过国家级节约型公共机构示范单位验收和成都市节水办水平衡测试验收。</w:t>
      </w:r>
    </w:p>
    <w:p>
      <w:pPr>
        <w:pStyle w:val="4"/>
        <w:ind w:firstLine="482" w:firstLineChars="200"/>
        <w:rPr>
          <w:rFonts w:hint="eastAsia"/>
        </w:rPr>
      </w:pPr>
      <w:r>
        <w:rPr>
          <w:rFonts w:hint="eastAsia" w:ascii="宋体" w:hAnsi="宋体" w:cs="宋体"/>
          <w:b/>
          <w:sz w:val="24"/>
          <w:szCs w:val="24"/>
        </w:rPr>
        <w:t>2、服务地点：成都市一环路西一段19号成都体育学院</w:t>
      </w:r>
    </w:p>
    <w:p>
      <w:pPr>
        <w:spacing w:line="400" w:lineRule="exact"/>
        <w:ind w:firstLine="482" w:firstLineChars="200"/>
        <w:jc w:val="left"/>
        <w:rPr>
          <w:rFonts w:hint="eastAsia" w:hAnsi="宋体" w:cs="宋体"/>
          <w:sz w:val="24"/>
          <w:szCs w:val="24"/>
        </w:rPr>
      </w:pPr>
      <w:r>
        <w:rPr>
          <w:rFonts w:hAnsi="宋体" w:cs="宋体"/>
          <w:b/>
          <w:sz w:val="24"/>
          <w:szCs w:val="24"/>
        </w:rPr>
        <w:t>3</w:t>
      </w:r>
      <w:r>
        <w:rPr>
          <w:rFonts w:hint="eastAsia" w:hAnsi="宋体" w:cs="宋体"/>
          <w:b/>
          <w:sz w:val="24"/>
          <w:szCs w:val="24"/>
        </w:rPr>
        <w:t>、付款方式：</w:t>
      </w:r>
      <w:r>
        <w:rPr>
          <w:rFonts w:hint="eastAsia" w:hAnsi="宋体" w:cs="宋体"/>
          <w:sz w:val="24"/>
          <w:szCs w:val="24"/>
        </w:rPr>
        <w:t>本项目无预付款，顺利通过国家级节约型公共机构示范单位验收和成都市节水办水平衡测试验收后20日内一次性支付全部款项。</w:t>
      </w:r>
    </w:p>
    <w:p>
      <w:pPr>
        <w:pStyle w:val="4"/>
        <w:spacing w:line="400" w:lineRule="exact"/>
      </w:pPr>
      <w:r>
        <w:rPr>
          <w:rFonts w:hint="eastAsia" w:ascii="宋体" w:hAnsi="宋体" w:cs="宋体"/>
          <w:sz w:val="24"/>
          <w:szCs w:val="24"/>
        </w:rPr>
        <w:t xml:space="preserve">    </w:t>
      </w:r>
      <w:r>
        <w:rPr>
          <w:rFonts w:ascii="宋体" w:hAnsi="宋体" w:cs="宋体"/>
          <w:sz w:val="24"/>
          <w:szCs w:val="24"/>
        </w:rPr>
        <w:t>4</w:t>
      </w:r>
      <w:r>
        <w:rPr>
          <w:rFonts w:hint="eastAsia" w:ascii="宋体" w:hAnsi="宋体" w:cs="宋体"/>
          <w:sz w:val="24"/>
          <w:szCs w:val="24"/>
        </w:rPr>
        <w:t>、验收标准：本项目成交人与采购人将严格参照《财政部关于进一步加强政府采购需求和履约验收管理的指导意见》(财库〔2016〕205号)、四川省财政厅《四川省政府采购项目需求论证和履约验收管理办法》(川财采〔2015〕32号) 、成都体育学院采购验收管理办法的通知(成体院〔2017〕149号)的要求进行验收。</w:t>
      </w:r>
    </w:p>
    <w:p>
      <w:pPr>
        <w:spacing w:line="400" w:lineRule="exact"/>
        <w:jc w:val="center"/>
        <w:outlineLvl w:val="0"/>
        <w:rPr>
          <w:rFonts w:hAnsi="宋体" w:cs="宋体"/>
          <w:b/>
          <w:sz w:val="36"/>
          <w:szCs w:val="36"/>
        </w:rPr>
      </w:pPr>
    </w:p>
    <w:p>
      <w:pPr>
        <w:spacing w:line="400" w:lineRule="exact"/>
        <w:jc w:val="left"/>
        <w:outlineLvl w:val="0"/>
        <w:rPr>
          <w:rFonts w:hint="eastAsia" w:hAnsi="宋体" w:cs="宋体"/>
          <w:b/>
          <w:sz w:val="28"/>
          <w:szCs w:val="28"/>
        </w:rPr>
      </w:pPr>
      <w:r>
        <w:rPr>
          <w:rFonts w:hint="eastAsia" w:hAnsi="宋体" w:cs="宋体"/>
          <w:b/>
          <w:sz w:val="28"/>
          <w:szCs w:val="28"/>
        </w:rPr>
        <w:t>备注：本章中带“★”项均为实质性要求，不得负偏离，否则视为无效响应。</w:t>
      </w:r>
    </w:p>
    <w:p>
      <w:pPr>
        <w:spacing w:line="400" w:lineRule="exact"/>
        <w:jc w:val="center"/>
        <w:outlineLvl w:val="0"/>
        <w:rPr>
          <w:rFonts w:hint="eastAsia" w:hAnsi="宋体" w:cs="宋体"/>
          <w:b/>
          <w:sz w:val="36"/>
          <w:szCs w:val="36"/>
        </w:rPr>
      </w:pPr>
    </w:p>
    <w:p>
      <w:pPr>
        <w:spacing w:line="400" w:lineRule="exact"/>
        <w:jc w:val="center"/>
        <w:outlineLvl w:val="0"/>
        <w:rPr>
          <w:rFonts w:hint="eastAsia" w:hAnsi="宋体" w:cs="宋体"/>
          <w:b/>
          <w:sz w:val="36"/>
          <w:szCs w:val="36"/>
        </w:rPr>
      </w:pPr>
    </w:p>
    <w:p>
      <w:pPr>
        <w:spacing w:line="400" w:lineRule="exact"/>
        <w:jc w:val="center"/>
        <w:outlineLvl w:val="0"/>
        <w:rPr>
          <w:rFonts w:hint="eastAsia" w:hAnsi="宋体" w:cs="宋体"/>
          <w:b/>
          <w:sz w:val="36"/>
          <w:szCs w:val="36"/>
        </w:rPr>
      </w:pPr>
    </w:p>
    <w:p>
      <w:pPr>
        <w:pStyle w:val="2"/>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0B4B6D"/>
    <w:rsid w:val="092151CA"/>
    <w:rsid w:val="09BF3D4B"/>
    <w:rsid w:val="0E6D674C"/>
    <w:rsid w:val="0EBC3636"/>
    <w:rsid w:val="16840C88"/>
    <w:rsid w:val="23126D3A"/>
    <w:rsid w:val="24A12424"/>
    <w:rsid w:val="2686519A"/>
    <w:rsid w:val="30DF1A0D"/>
    <w:rsid w:val="332B2D2A"/>
    <w:rsid w:val="33AC3FB0"/>
    <w:rsid w:val="38A73A57"/>
    <w:rsid w:val="3E480D86"/>
    <w:rsid w:val="41A7121A"/>
    <w:rsid w:val="48E9189E"/>
    <w:rsid w:val="4C255CC2"/>
    <w:rsid w:val="4CCA6959"/>
    <w:rsid w:val="4EED30BC"/>
    <w:rsid w:val="570B4B6D"/>
    <w:rsid w:val="57965267"/>
    <w:rsid w:val="5AD744BD"/>
    <w:rsid w:val="61F16BC4"/>
    <w:rsid w:val="62752B34"/>
    <w:rsid w:val="66895BCA"/>
    <w:rsid w:val="6E787967"/>
    <w:rsid w:val="6EF65832"/>
    <w:rsid w:val="705D12B9"/>
    <w:rsid w:val="746968F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uiPriority w:val="0"/>
    <w:pPr>
      <w:spacing w:after="120"/>
    </w:pPr>
    <w:rPr>
      <w:rFonts w:ascii="Times New Roman"/>
      <w:kern w:val="2"/>
      <w:sz w:val="21"/>
      <w:szCs w:val="24"/>
    </w:rPr>
  </w:style>
  <w:style w:type="paragraph" w:styleId="3">
    <w:name w:val="annotation text"/>
    <w:basedOn w:val="1"/>
    <w:qFormat/>
    <w:uiPriority w:val="0"/>
    <w:pPr>
      <w:jc w:val="left"/>
    </w:pPr>
  </w:style>
  <w:style w:type="paragraph" w:styleId="4">
    <w:name w:val="footer"/>
    <w:basedOn w:val="1"/>
    <w:qFormat/>
    <w:uiPriority w:val="99"/>
    <w:pPr>
      <w:tabs>
        <w:tab w:val="center" w:pos="4153"/>
        <w:tab w:val="right" w:pos="8306"/>
      </w:tabs>
      <w:snapToGrid w:val="0"/>
      <w:jc w:val="left"/>
    </w:pPr>
    <w:rPr>
      <w:rFonts w:ascii="Times New Roman"/>
      <w:kern w:val="2"/>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valueinfo"/>
    <w:basedOn w:val="7"/>
    <w:qFormat/>
    <w:uiPriority w:val="0"/>
    <w:rPr>
      <w:color w:val="666666"/>
    </w:rPr>
  </w:style>
  <w:style w:type="character" w:customStyle="1" w:styleId="9">
    <w:name w:val="l-btn-left2"/>
    <w:basedOn w:val="7"/>
    <w:qFormat/>
    <w:uiPriority w:val="0"/>
  </w:style>
  <w:style w:type="character" w:customStyle="1" w:styleId="10">
    <w:name w:val="l-btn-left3"/>
    <w:basedOn w:val="7"/>
    <w:qFormat/>
    <w:uiPriority w:val="0"/>
  </w:style>
  <w:style w:type="character" w:customStyle="1" w:styleId="11">
    <w:name w:val="l-btn-left4"/>
    <w:basedOn w:val="7"/>
    <w:qFormat/>
    <w:uiPriority w:val="0"/>
  </w:style>
  <w:style w:type="character" w:customStyle="1" w:styleId="12">
    <w:name w:val="l-btn-left5"/>
    <w:basedOn w:val="7"/>
    <w:qFormat/>
    <w:uiPriority w:val="0"/>
  </w:style>
  <w:style w:type="character" w:customStyle="1" w:styleId="13">
    <w:name w:val="l-btn-text"/>
    <w:basedOn w:val="7"/>
    <w:qFormat/>
    <w:uiPriority w:val="0"/>
  </w:style>
  <w:style w:type="character" w:customStyle="1" w:styleId="14">
    <w:name w:val="l-btn-text1"/>
    <w:basedOn w:val="7"/>
    <w:qFormat/>
    <w:uiPriority w:val="0"/>
    <w:rPr>
      <w:color w:val="1864AC"/>
      <w:sz w:val="18"/>
      <w:szCs w:val="18"/>
    </w:rPr>
  </w:style>
  <w:style w:type="character" w:customStyle="1" w:styleId="15">
    <w:name w:val="info"/>
    <w:basedOn w:val="7"/>
    <w:qFormat/>
    <w:uiPriority w:val="0"/>
  </w:style>
  <w:style w:type="character" w:customStyle="1" w:styleId="16">
    <w:name w:val="l-btn-empty"/>
    <w:basedOn w:val="7"/>
    <w:qFormat/>
    <w:uiPriority w:val="0"/>
  </w:style>
  <w:style w:type="character" w:customStyle="1" w:styleId="17">
    <w:name w:val="cke_colorbox"/>
    <w:basedOn w:val="7"/>
    <w:qFormat/>
    <w:uiPriority w:val="0"/>
  </w:style>
  <w:style w:type="character" w:customStyle="1" w:styleId="18">
    <w:name w:val="cke_colorbox1"/>
    <w:basedOn w:val="7"/>
    <w:qFormat/>
    <w:uiPriority w:val="0"/>
    <w:rPr>
      <w:bdr w:val="single" w:color="808080" w:sz="6" w:space="0"/>
    </w:rPr>
  </w:style>
  <w:style w:type="character" w:customStyle="1" w:styleId="19">
    <w:name w:val="tree-title4"/>
    <w:basedOn w:val="7"/>
    <w:qFormat/>
    <w:uiPriority w:val="0"/>
    <w:rPr>
      <w:color w:val="1864AC"/>
    </w:rPr>
  </w:style>
  <w:style w:type="character" w:customStyle="1" w:styleId="20">
    <w:name w:val="tree-title5"/>
    <w:basedOn w:val="7"/>
    <w:qFormat/>
    <w:uiPriority w:val="0"/>
    <w:rPr>
      <w:color w:val="FFFFFF"/>
      <w:shd w:val="clear" w:fill="3366CC"/>
    </w:rPr>
  </w:style>
  <w:style w:type="character" w:customStyle="1" w:styleId="21">
    <w:name w:val="vainfo2"/>
    <w:basedOn w:val="7"/>
    <w:qFormat/>
    <w:uiPriority w:val="0"/>
    <w:rPr>
      <w:color w:val="FF0000"/>
      <w:bdr w:val="single" w:color="FCBCBC" w:sz="6" w:space="0"/>
      <w:shd w:val="clear" w:fill="FFE4E4"/>
    </w:rPr>
  </w:style>
  <w:style w:type="character" w:customStyle="1" w:styleId="22">
    <w:name w:val="pwdtips_alert"/>
    <w:basedOn w:val="7"/>
    <w:qFormat/>
    <w:uiPriority w:val="0"/>
    <w:rPr>
      <w:bdr w:val="single" w:color="FFCB25" w:sz="6" w:space="0"/>
      <w:shd w:val="clear" w:fill="FFEAA6"/>
    </w:rPr>
  </w:style>
  <w:style w:type="character" w:customStyle="1" w:styleId="23">
    <w:name w:val="red"/>
    <w:basedOn w:val="7"/>
    <w:qFormat/>
    <w:uiPriority w:val="0"/>
    <w:rPr>
      <w:color w:val="FF0000"/>
    </w:rPr>
  </w:style>
  <w:style w:type="character" w:customStyle="1" w:styleId="24">
    <w:name w:val="tree-file2"/>
    <w:basedOn w:val="7"/>
    <w:qFormat/>
    <w:uiPriority w:val="0"/>
  </w:style>
  <w:style w:type="character" w:customStyle="1" w:styleId="25">
    <w:name w:val="topic"/>
    <w:basedOn w:val="7"/>
    <w:qFormat/>
    <w:uiPriority w:val="0"/>
    <w:rPr>
      <w:color w:val="FF0000"/>
    </w:rPr>
  </w:style>
  <w:style w:type="character" w:customStyle="1" w:styleId="26">
    <w:name w:val="green"/>
    <w:basedOn w:val="7"/>
    <w:qFormat/>
    <w:uiPriority w:val="0"/>
    <w:rPr>
      <w:color w:val="00A521"/>
    </w:rPr>
  </w:style>
  <w:style w:type="character" w:customStyle="1" w:styleId="27">
    <w:name w:val="combo2"/>
    <w:basedOn w:val="7"/>
    <w:qFormat/>
    <w:uiPriority w:val="0"/>
  </w:style>
  <w:style w:type="character" w:customStyle="1" w:styleId="28">
    <w:name w:val="pwdtips_error"/>
    <w:basedOn w:val="7"/>
    <w:qFormat/>
    <w:uiPriority w:val="0"/>
    <w:rPr>
      <w:bdr w:val="single" w:color="FF2525" w:sz="6" w:space="0"/>
      <w:shd w:val="clear" w:fill="FFA6A6"/>
    </w:rPr>
  </w:style>
  <w:style w:type="character" w:customStyle="1" w:styleId="29">
    <w:name w:val="pwdtips_ok"/>
    <w:basedOn w:val="7"/>
    <w:qFormat/>
    <w:uiPriority w:val="0"/>
    <w:rPr>
      <w:bdr w:val="single" w:color="8EFF25" w:sz="6" w:space="0"/>
      <w:shd w:val="clear" w:fill="B4FFA6"/>
    </w:rPr>
  </w:style>
  <w:style w:type="paragraph" w:customStyle="1" w:styleId="30">
    <w:name w:val="_Style 27"/>
    <w:basedOn w:val="1"/>
    <w:next w:val="1"/>
    <w:qFormat/>
    <w:uiPriority w:val="0"/>
    <w:pPr>
      <w:pBdr>
        <w:bottom w:val="single" w:color="auto" w:sz="6" w:space="1"/>
      </w:pBdr>
      <w:jc w:val="center"/>
    </w:pPr>
    <w:rPr>
      <w:rFonts w:ascii="Arial" w:eastAsia="宋体"/>
      <w:vanish/>
      <w:sz w:val="16"/>
    </w:rPr>
  </w:style>
  <w:style w:type="paragraph" w:customStyle="1" w:styleId="31">
    <w:name w:val="_Style 28"/>
    <w:basedOn w:val="1"/>
    <w:next w:val="1"/>
    <w:qFormat/>
    <w:uiPriority w:val="0"/>
    <w:pPr>
      <w:pBdr>
        <w:top w:val="single" w:color="auto" w:sz="6" w:space="1"/>
      </w:pBdr>
      <w:jc w:val="center"/>
    </w:pPr>
    <w:rPr>
      <w:rFonts w:ascii="Arial" w:eastAsia="宋体"/>
      <w:vanish/>
      <w:sz w:val="16"/>
    </w:rPr>
  </w:style>
  <w:style w:type="character" w:customStyle="1" w:styleId="32">
    <w:name w:val="tree-file"/>
    <w:basedOn w:val="7"/>
    <w:qFormat/>
    <w:uiPriority w:val="0"/>
  </w:style>
  <w:style w:type="character" w:customStyle="1" w:styleId="33">
    <w:name w:val="l-btn-left"/>
    <w:basedOn w:val="7"/>
    <w:qFormat/>
    <w:uiPriority w:val="0"/>
  </w:style>
  <w:style w:type="character" w:customStyle="1" w:styleId="34">
    <w:name w:val="l-btn-left1"/>
    <w:basedOn w:val="7"/>
    <w:qFormat/>
    <w:uiPriority w:val="0"/>
  </w:style>
  <w:style w:type="character" w:customStyle="1" w:styleId="35">
    <w:name w:val="cke_colorbox2"/>
    <w:basedOn w:val="7"/>
    <w:qFormat/>
    <w:uiPriority w:val="0"/>
  </w:style>
  <w:style w:type="character" w:customStyle="1" w:styleId="36">
    <w:name w:val="cke_colorbox3"/>
    <w:basedOn w:val="7"/>
    <w:qFormat/>
    <w:uiPriority w:val="0"/>
    <w:rPr>
      <w:bdr w:val="single" w:color="808080" w:sz="6" w:space="0"/>
    </w:rPr>
  </w:style>
  <w:style w:type="character" w:customStyle="1" w:styleId="37">
    <w:name w:val="tree-title"/>
    <w:basedOn w:val="7"/>
    <w:qFormat/>
    <w:uiPriority w:val="0"/>
    <w:rPr>
      <w:color w:val="1864AC"/>
    </w:rPr>
  </w:style>
  <w:style w:type="character" w:customStyle="1" w:styleId="38">
    <w:name w:val="tree-title1"/>
    <w:basedOn w:val="7"/>
    <w:qFormat/>
    <w:uiPriority w:val="0"/>
    <w:rPr>
      <w:color w:val="FFFFFF"/>
      <w:shd w:val="clear" w:fill="3366CC"/>
    </w:rPr>
  </w:style>
  <w:style w:type="character" w:customStyle="1" w:styleId="39">
    <w:name w:val="combo"/>
    <w:basedOn w:val="7"/>
    <w:qFormat/>
    <w:uiPriority w:val="0"/>
  </w:style>
  <w:style w:type="character" w:customStyle="1" w:styleId="40">
    <w:name w:val="vainfo"/>
    <w:basedOn w:val="7"/>
    <w:qFormat/>
    <w:uiPriority w:val="0"/>
    <w:rPr>
      <w:color w:val="FF0000"/>
      <w:bdr w:val="single" w:color="FCBCBC" w:sz="6" w:space="0"/>
      <w:shd w:val="clear" w:fill="FFE4E4"/>
    </w:rPr>
  </w:style>
  <w:style w:type="paragraph" w:customStyle="1" w:styleId="41">
    <w:name w:val="正文首行缩进两字符"/>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2019-04-03T07:33:00Z</dcterms:created>
  <dc:creator>ZY_gonggaozhuanyuan</dc:creator>
  <cp:lastModifiedBy>那蓝图.非梦</cp:lastModifiedBy>
  <dcterms:modified xsi:type="dcterms:W3CDTF">2020-04-13T05:10:57Z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