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eastAsia="宋体" w:cs="宋体"/>
          <w:color w:val="auto"/>
          <w:kern w:val="0"/>
          <w:szCs w:val="21"/>
          <w:highlight w:val="none"/>
          <w:lang w:eastAsia="zh-CN"/>
        </w:rPr>
      </w:pPr>
    </w:p>
    <w:p>
      <w:pPr>
        <w:widowControl/>
        <w:spacing w:line="360" w:lineRule="auto"/>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竞争性磋商采购公告</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9"/>
        <w:gridCol w:w="2040"/>
        <w:gridCol w:w="1620"/>
        <w:gridCol w:w="2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项目名称</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Style w:val="41"/>
                <w:rFonts w:hint="eastAsia" w:ascii="宋体" w:hAnsi="宋体" w:eastAsia="宋体" w:cs="宋体"/>
                <w:b w:val="0"/>
                <w:bCs w:val="0"/>
                <w:color w:val="auto"/>
                <w:sz w:val="24"/>
                <w:szCs w:val="24"/>
                <w:highlight w:val="none"/>
                <w:lang w:val="zh-TW"/>
              </w:rPr>
              <w:t>成都体育学院、附属医院制药厂消防报警和气体灭火系统工程项目</w:t>
            </w:r>
          </w:p>
        </w:tc>
        <w:tc>
          <w:tcPr>
            <w:tcW w:w="162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项目编号</w:t>
            </w:r>
          </w:p>
        </w:tc>
        <w:tc>
          <w:tcPr>
            <w:tcW w:w="2933"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Style w:val="41"/>
                <w:rFonts w:hint="eastAsia" w:ascii="宋体" w:hAnsi="宋体" w:eastAsia="宋体" w:cs="宋体"/>
                <w:b w:val="0"/>
                <w:bCs w:val="0"/>
                <w:color w:val="auto"/>
                <w:sz w:val="24"/>
                <w:szCs w:val="24"/>
                <w:highlight w:val="none"/>
                <w:lang w:val="zh-TW" w:eastAsia="zh-TW"/>
              </w:rPr>
              <w:t>ZY20191055QT-C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采购方式</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eastAsia="zh-CN"/>
              </w:rPr>
              <w:t>竞争性磋商</w:t>
            </w:r>
          </w:p>
        </w:tc>
        <w:tc>
          <w:tcPr>
            <w:tcW w:w="162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行政区划</w:t>
            </w:r>
          </w:p>
        </w:tc>
        <w:tc>
          <w:tcPr>
            <w:tcW w:w="2933"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四川省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公告类型</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eastAsia="zh-CN"/>
              </w:rPr>
              <w:t>采购公告</w:t>
            </w:r>
          </w:p>
        </w:tc>
        <w:tc>
          <w:tcPr>
            <w:tcW w:w="162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公告发布时间</w:t>
            </w:r>
          </w:p>
        </w:tc>
        <w:tc>
          <w:tcPr>
            <w:tcW w:w="2933"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2019年12月25日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项目联系人</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刘女士</w:t>
            </w:r>
          </w:p>
        </w:tc>
        <w:tc>
          <w:tcPr>
            <w:tcW w:w="162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项目联系电话</w:t>
            </w:r>
          </w:p>
        </w:tc>
        <w:tc>
          <w:tcPr>
            <w:tcW w:w="2933"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028-87050033转2013，标书售卖问询电话：028-87050033-0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29" w:type="dxa"/>
            <w:vMerge w:val="restar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采购单位信息</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采购人</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z w:val="24"/>
                <w:szCs w:val="24"/>
                <w:highlight w:val="none"/>
              </w:rPr>
              <w:t>成都体育学院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29" w:type="dxa"/>
            <w:vMerge w:val="continue"/>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联系人和联系方式</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联系人：</w:t>
            </w:r>
            <w:r>
              <w:rPr>
                <w:rStyle w:val="41"/>
                <w:rFonts w:hint="eastAsia" w:ascii="宋体" w:hAnsi="宋体" w:eastAsia="宋体" w:cs="宋体"/>
                <w:b w:val="0"/>
                <w:bCs w:val="0"/>
                <w:color w:val="auto"/>
                <w:sz w:val="24"/>
                <w:szCs w:val="24"/>
                <w:highlight w:val="none"/>
                <w:lang w:val="zh-TW" w:eastAsia="zh-TW"/>
              </w:rPr>
              <w:t>龙老师</w:t>
            </w:r>
            <w:r>
              <w:rPr>
                <w:rFonts w:hint="eastAsia" w:ascii="宋体" w:hAnsi="宋体" w:eastAsia="宋体" w:cs="宋体"/>
                <w:b w:val="0"/>
                <w:bCs w:val="0"/>
                <w:color w:val="auto"/>
                <w:kern w:val="0"/>
                <w:sz w:val="24"/>
                <w:szCs w:val="24"/>
                <w:highlight w:val="none"/>
                <w:lang w:eastAsia="zh-CN"/>
              </w:rPr>
              <w:t>，联系电话：</w:t>
            </w:r>
            <w:r>
              <w:rPr>
                <w:rStyle w:val="41"/>
                <w:rFonts w:hint="eastAsia" w:ascii="宋体" w:hAnsi="宋体" w:eastAsia="宋体" w:cs="宋体"/>
                <w:b w:val="0"/>
                <w:bCs w:val="0"/>
                <w:color w:val="auto"/>
                <w:sz w:val="24"/>
                <w:szCs w:val="24"/>
                <w:highlight w:val="none"/>
                <w:lang w:val="zh-TW" w:eastAsia="zh-TW"/>
              </w:rPr>
              <w:t>028-85097065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29" w:type="dxa"/>
            <w:vMerge w:val="continue"/>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联系地址</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Style w:val="41"/>
                <w:rFonts w:hint="eastAsia" w:ascii="宋体" w:hAnsi="宋体" w:eastAsia="宋体" w:cs="宋体"/>
                <w:b w:val="0"/>
                <w:bCs w:val="0"/>
                <w:color w:val="auto"/>
                <w:sz w:val="24"/>
                <w:szCs w:val="24"/>
                <w:highlight w:val="none"/>
                <w:lang w:val="zh-TW" w:eastAsia="zh-TW"/>
              </w:rPr>
              <w:t>四川省成都市武侯区体院路2号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29" w:type="dxa"/>
            <w:vMerge w:val="restart"/>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代理机构信息</w:t>
            </w: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单位名称</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四川中意招标有限公司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Merge w:val="continue"/>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联系人和联系方式</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刘女士，联系电话：028-87050033，传真：028-87050233，电子邮箱：s.c.zyzb@163.com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Merge w:val="continue"/>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p>
        </w:tc>
        <w:tc>
          <w:tcPr>
            <w:tcW w:w="2040"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联系地址</w:t>
            </w:r>
          </w:p>
        </w:tc>
        <w:tc>
          <w:tcPr>
            <w:tcW w:w="4553" w:type="dxa"/>
            <w:gridSpan w:val="2"/>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z w:val="24"/>
                <w:szCs w:val="24"/>
                <w:highlight w:val="none"/>
              </w:rPr>
              <w:t>四川省成都市高新区天府大道1700号新世纪环球中心</w:t>
            </w:r>
            <w:r>
              <w:rPr>
                <w:rFonts w:hint="eastAsia" w:ascii="宋体" w:hAnsi="宋体" w:eastAsia="宋体" w:cs="宋体"/>
                <w:b w:val="0"/>
                <w:bCs w:val="0"/>
                <w:color w:val="auto"/>
                <w:sz w:val="24"/>
                <w:szCs w:val="24"/>
                <w:highlight w:val="none"/>
                <w:lang w:eastAsia="zh-CN"/>
              </w:rPr>
              <w:t>E3门栋6楼2-1-611-615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sz w:val="24"/>
                <w:szCs w:val="24"/>
                <w:highlight w:val="none"/>
                <w:vertAlign w:val="baseline"/>
                <w:lang w:eastAsia="zh-CN"/>
              </w:rPr>
              <w:t>预算金额</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sz w:val="24"/>
                <w:szCs w:val="24"/>
                <w:highlight w:val="none"/>
                <w:vertAlign w:val="baseline"/>
                <w:lang w:eastAsia="zh-CN"/>
              </w:rPr>
              <w:t>（万元）</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sz w:val="24"/>
                <w:szCs w:val="24"/>
                <w:highlight w:val="none"/>
              </w:rPr>
              <w:t>35</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026</w:t>
            </w:r>
            <w:r>
              <w:rPr>
                <w:rFonts w:hint="eastAsia" w:ascii="宋体" w:hAnsi="宋体" w:eastAsia="宋体" w:cs="宋体"/>
                <w:b w:val="0"/>
                <w:bCs w:val="0"/>
                <w:color w:val="auto"/>
                <w:sz w:val="24"/>
                <w:szCs w:val="24"/>
                <w:highlight w:val="none"/>
                <w:vertAlign w:val="baseline"/>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kern w:val="0"/>
                <w:sz w:val="24"/>
                <w:szCs w:val="24"/>
                <w:highlight w:val="none"/>
                <w:lang w:eastAsia="zh-CN"/>
              </w:rPr>
              <w:t>获取磋商文件时间</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sz w:val="24"/>
                <w:szCs w:val="24"/>
                <w:highlight w:val="none"/>
              </w:rPr>
              <w:t>201</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lang w:val="en-US" w:eastAsia="zh-CN"/>
              </w:rPr>
              <w:t>12</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lang w:val="en-US" w:eastAsia="zh-CN"/>
              </w:rPr>
              <w:t>26</w:t>
            </w:r>
            <w:r>
              <w:rPr>
                <w:rFonts w:hint="eastAsia" w:ascii="宋体" w:hAnsi="宋体" w:eastAsia="宋体" w:cs="宋体"/>
                <w:b w:val="0"/>
                <w:bCs w:val="0"/>
                <w:color w:val="auto"/>
                <w:sz w:val="24"/>
                <w:szCs w:val="24"/>
                <w:highlight w:val="none"/>
              </w:rPr>
              <w:t>日至20</w:t>
            </w:r>
            <w:r>
              <w:rPr>
                <w:rFonts w:hint="eastAsia" w:ascii="宋体" w:hAnsi="宋体" w:eastAsia="宋体" w:cs="宋体"/>
                <w:b w:val="0"/>
                <w:bCs w:val="0"/>
                <w:color w:val="auto"/>
                <w:sz w:val="24"/>
                <w:szCs w:val="24"/>
                <w:highlight w:val="none"/>
                <w:lang w:val="en-US" w:eastAsia="zh-CN"/>
              </w:rPr>
              <w:t>20</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日09：00时至16：30时（节假日除外），逾期不售。</w:t>
            </w:r>
            <w:r>
              <w:rPr>
                <w:rFonts w:hint="eastAsia" w:ascii="宋体" w:hAnsi="宋体" w:eastAsia="宋体" w:cs="宋体"/>
                <w:b w:val="0"/>
                <w:bCs w:val="0"/>
                <w:color w:val="auto"/>
                <w:sz w:val="24"/>
                <w:szCs w:val="24"/>
                <w:highlight w:val="none"/>
                <w:lang w:eastAsia="zh-CN"/>
              </w:rPr>
              <w:t>（中午</w:t>
            </w:r>
            <w:r>
              <w:rPr>
                <w:rFonts w:hint="eastAsia" w:ascii="宋体" w:hAnsi="宋体" w:eastAsia="宋体" w:cs="宋体"/>
                <w:b w:val="0"/>
                <w:bCs w:val="0"/>
                <w:color w:val="auto"/>
                <w:sz w:val="24"/>
                <w:szCs w:val="24"/>
                <w:highlight w:val="none"/>
                <w:lang w:val="en-US" w:eastAsia="zh-CN"/>
              </w:rPr>
              <w:t>12:00-13:30分不售卖文件</w:t>
            </w:r>
            <w:r>
              <w:rPr>
                <w:rFonts w:hint="eastAsia" w:ascii="宋体" w:hAnsi="宋体" w:eastAsia="宋体" w:cs="宋体"/>
                <w:b w:val="0"/>
                <w:bCs w:val="0"/>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sz w:val="24"/>
                <w:szCs w:val="24"/>
                <w:highlight w:val="none"/>
                <w:vertAlign w:val="baseline"/>
                <w:lang w:val="en-US" w:eastAsia="zh-CN"/>
              </w:rPr>
              <w:t>获取磋商文件方式</w:t>
            </w:r>
          </w:p>
        </w:tc>
        <w:tc>
          <w:tcPr>
            <w:tcW w:w="6593" w:type="dxa"/>
            <w:gridSpan w:val="3"/>
            <w:vAlign w:val="center"/>
          </w:tcPr>
          <w:p>
            <w:pPr>
              <w:pStyle w:val="42"/>
              <w:keepNext w:val="0"/>
              <w:keepLines w:val="0"/>
              <w:pageBreakBefore w:val="0"/>
              <w:kinsoku/>
              <w:overflowPunct/>
              <w:topLinePunct w:val="0"/>
              <w:autoSpaceDE/>
              <w:autoSpaceDN/>
              <w:bidi w:val="0"/>
              <w:adjustRightInd/>
              <w:snapToGrid/>
              <w:spacing w:line="240" w:lineRule="auto"/>
              <w:ind w:firstLine="480"/>
              <w:textAlignment w:val="auto"/>
              <w:rPr>
                <w:rStyle w:val="41"/>
                <w:rFonts w:hint="eastAsia" w:ascii="宋体" w:hAnsi="宋体" w:eastAsia="宋体" w:cs="宋体"/>
                <w:b w:val="0"/>
                <w:bCs w:val="0"/>
                <w:color w:val="auto"/>
                <w:sz w:val="24"/>
                <w:szCs w:val="24"/>
                <w:highlight w:val="none"/>
                <w:lang w:val="zh-TW" w:eastAsia="zh-TW"/>
              </w:rPr>
            </w:pPr>
            <w:r>
              <w:rPr>
                <w:rStyle w:val="41"/>
                <w:rFonts w:hint="eastAsia" w:ascii="宋体" w:hAnsi="宋体" w:eastAsia="宋体" w:cs="宋体"/>
                <w:b w:val="0"/>
                <w:bCs w:val="0"/>
                <w:color w:val="auto"/>
                <w:sz w:val="24"/>
                <w:szCs w:val="24"/>
                <w:highlight w:val="none"/>
                <w:lang w:val="zh-TW" w:eastAsia="zh-TW"/>
              </w:rPr>
              <w:t>获取磋商文件时，经办人员当场提交以下资料：供应商为法人或者其他组织的，只需提供单位介绍信、经办人身份证明；供应商为自然人的，只需提供本人身份证明。</w:t>
            </w:r>
          </w:p>
          <w:p>
            <w:pPr>
              <w:keepNext w:val="0"/>
              <w:keepLines w:val="0"/>
              <w:pageBreakBefore w:val="0"/>
              <w:widowControl/>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sz w:val="24"/>
                <w:szCs w:val="24"/>
                <w:highlight w:val="none"/>
                <w:vertAlign w:val="baseline"/>
                <w:lang w:val="en-US" w:eastAsia="zh-CN"/>
              </w:rPr>
              <w:t>磋商文件售价</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sz w:val="24"/>
                <w:szCs w:val="24"/>
                <w:highlight w:val="none"/>
                <w:vertAlign w:val="baseline"/>
                <w:lang w:eastAsia="zh-CN"/>
              </w:rPr>
              <w:t>（元）</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vertAlign w:val="baseline"/>
                <w:lang w:val="en-US" w:eastAsia="zh-CN"/>
              </w:rPr>
              <w:t>400</w:t>
            </w:r>
            <w:r>
              <w:rPr>
                <w:rFonts w:hint="eastAsia" w:ascii="宋体" w:hAnsi="宋体" w:eastAsia="宋体" w:cs="宋体"/>
                <w:b w:val="0"/>
                <w:bCs w:val="0"/>
                <w:color w:val="auto"/>
                <w:sz w:val="24"/>
                <w:szCs w:val="24"/>
                <w:highlight w:val="none"/>
                <w:vertAlign w:val="baseline"/>
                <w:lang w:eastAsia="zh-CN"/>
              </w:rPr>
              <w:t>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sz w:val="24"/>
                <w:szCs w:val="24"/>
                <w:highlight w:val="none"/>
                <w:vertAlign w:val="baseline"/>
                <w:lang w:eastAsia="zh-CN"/>
              </w:rPr>
              <w:t>获取磋商文件的地点</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四川省成都市高新区天府大道1700号新世纪环球中心</w:t>
            </w:r>
            <w:r>
              <w:rPr>
                <w:rFonts w:hint="eastAsia" w:ascii="宋体" w:hAnsi="宋体" w:eastAsia="宋体" w:cs="宋体"/>
                <w:b w:val="0"/>
                <w:bCs w:val="0"/>
                <w:color w:val="auto"/>
                <w:sz w:val="24"/>
                <w:szCs w:val="24"/>
                <w:highlight w:val="none"/>
                <w:lang w:eastAsia="zh-CN"/>
              </w:rPr>
              <w:t>E3门栋6楼2-1-611-615</w:t>
            </w:r>
            <w:r>
              <w:rPr>
                <w:rFonts w:hint="eastAsia" w:ascii="宋体" w:hAnsi="宋体" w:eastAsia="宋体" w:cs="宋体"/>
                <w:b w:val="0"/>
                <w:bCs w:val="0"/>
                <w:color w:val="auto"/>
                <w:sz w:val="24"/>
                <w:szCs w:val="24"/>
                <w:highlight w:val="none"/>
              </w:rPr>
              <w:t>四川中意招标有限公司购买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响应文件递交时间</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2020年1月7日9：30至10：00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rPr>
              <w:t>响应文件开启时间</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lang w:val="en-US"/>
              </w:rPr>
            </w:pPr>
            <w:r>
              <w:rPr>
                <w:rFonts w:hint="eastAsia" w:ascii="宋体" w:hAnsi="宋体" w:eastAsia="宋体" w:cs="宋体"/>
                <w:b w:val="0"/>
                <w:bCs w:val="0"/>
                <w:color w:val="auto"/>
                <w:sz w:val="24"/>
                <w:szCs w:val="24"/>
                <w:highlight w:val="none"/>
                <w:lang w:val="en-US" w:eastAsia="zh-CN"/>
              </w:rPr>
              <w:t>2020年1月7日10：10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vAlign w:val="center"/>
          </w:tcPr>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rPr>
              <w:t>响应文件递交地点</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四川省成都市高新区天府大道1700号新世纪环球中心</w:t>
            </w:r>
            <w:r>
              <w:rPr>
                <w:rFonts w:hint="eastAsia" w:ascii="宋体" w:hAnsi="宋体" w:eastAsia="宋体" w:cs="宋体"/>
                <w:b w:val="0"/>
                <w:bCs w:val="0"/>
                <w:color w:val="auto"/>
                <w:sz w:val="24"/>
                <w:szCs w:val="24"/>
                <w:highlight w:val="none"/>
                <w:lang w:eastAsia="zh-CN"/>
              </w:rPr>
              <w:t>E3门栋6楼2-1-611-615</w:t>
            </w:r>
            <w:r>
              <w:rPr>
                <w:rFonts w:hint="eastAsia" w:ascii="宋体" w:hAnsi="宋体" w:eastAsia="宋体" w:cs="宋体"/>
                <w:b w:val="0"/>
                <w:bCs w:val="0"/>
                <w:color w:val="auto"/>
                <w:sz w:val="24"/>
                <w:szCs w:val="24"/>
                <w:highlight w:val="none"/>
              </w:rPr>
              <w:t>四川中意招标有限公司会议室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7" w:hRule="atLeast"/>
        </w:trPr>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sz w:val="24"/>
                <w:szCs w:val="24"/>
                <w:highlight w:val="none"/>
                <w:vertAlign w:val="baseline"/>
                <w:lang w:eastAsia="zh-CN"/>
              </w:rPr>
              <w:t>采购项目的名称、数量、简要规格描述或项目基本概况介绍</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1、</w:t>
            </w:r>
            <w:r>
              <w:rPr>
                <w:rStyle w:val="41"/>
                <w:rFonts w:hint="eastAsia" w:ascii="宋体" w:hAnsi="宋体" w:eastAsia="宋体" w:cs="宋体"/>
                <w:b w:val="0"/>
                <w:bCs w:val="0"/>
                <w:color w:val="auto"/>
                <w:sz w:val="24"/>
                <w:szCs w:val="24"/>
                <w:highlight w:val="none"/>
                <w:lang w:val="zh-TW"/>
              </w:rPr>
              <w:t>成都体育学院、附属医院制药厂消防报警和气体灭火系统工程项目</w:t>
            </w:r>
            <w:r>
              <w:rPr>
                <w:rFonts w:hint="eastAsia" w:ascii="宋体" w:hAnsi="宋体" w:eastAsia="宋体" w:cs="宋体"/>
                <w:b w:val="0"/>
                <w:bCs w:val="0"/>
                <w:color w:val="auto"/>
                <w:sz w:val="24"/>
                <w:szCs w:val="24"/>
                <w:highlight w:val="none"/>
                <w:vertAlign w:val="baseline"/>
                <w:lang w:eastAsia="zh-CN"/>
              </w:rPr>
              <w:t>，</w:t>
            </w:r>
            <w:r>
              <w:rPr>
                <w:rFonts w:hint="eastAsia" w:ascii="宋体" w:hAnsi="宋体" w:eastAsia="宋体" w:cs="宋体"/>
                <w:b w:val="0"/>
                <w:bCs w:val="0"/>
                <w:color w:val="auto"/>
                <w:sz w:val="24"/>
                <w:szCs w:val="24"/>
                <w:highlight w:val="none"/>
                <w:vertAlign w:val="baseline"/>
              </w:rPr>
              <w:t>中标人个数：</w:t>
            </w:r>
            <w:r>
              <w:rPr>
                <w:rFonts w:hint="eastAsia" w:ascii="宋体" w:hAnsi="宋体" w:eastAsia="宋体" w:cs="宋体"/>
                <w:b w:val="0"/>
                <w:bCs w:val="0"/>
                <w:color w:val="auto"/>
                <w:sz w:val="24"/>
                <w:szCs w:val="24"/>
                <w:highlight w:val="none"/>
                <w:vertAlign w:val="baseline"/>
                <w:lang w:val="en-US" w:eastAsia="zh-CN"/>
              </w:rPr>
              <w:t>1</w:t>
            </w:r>
            <w:r>
              <w:rPr>
                <w:rFonts w:hint="eastAsia" w:ascii="宋体" w:hAnsi="宋体" w:eastAsia="宋体" w:cs="宋体"/>
                <w:b w:val="0"/>
                <w:bCs w:val="0"/>
                <w:color w:val="auto"/>
                <w:sz w:val="24"/>
                <w:szCs w:val="24"/>
                <w:highlight w:val="none"/>
                <w:vertAlign w:val="baseline"/>
                <w:lang w:eastAsia="zh-CN"/>
              </w:rPr>
              <w:t>个</w:t>
            </w:r>
            <w:r>
              <w:rPr>
                <w:rFonts w:hint="eastAsia" w:ascii="宋体" w:hAnsi="宋体" w:eastAsia="宋体" w:cs="宋体"/>
                <w:b w:val="0"/>
                <w:bCs w:val="0"/>
                <w:color w:val="auto"/>
                <w:sz w:val="24"/>
                <w:szCs w:val="24"/>
                <w:highlight w:val="none"/>
                <w:vertAlign w:val="baseline"/>
              </w:rPr>
              <w:t>；</w:t>
            </w:r>
          </w:p>
          <w:p>
            <w:pPr>
              <w:keepNext w:val="0"/>
              <w:keepLines w:val="0"/>
              <w:pageBreakBefore w:val="0"/>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sz w:val="24"/>
                <w:szCs w:val="24"/>
                <w:highlight w:val="none"/>
                <w:vertAlign w:val="baseline"/>
              </w:rPr>
              <w:t>2、详见附件。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7" w:hRule="atLeast"/>
        </w:trPr>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sz w:val="24"/>
                <w:szCs w:val="24"/>
                <w:highlight w:val="none"/>
                <w:vertAlign w:val="baseline"/>
                <w:lang w:eastAsia="zh-CN"/>
              </w:rPr>
              <w:t>对供应商资格要求（供应商资格条件）</w:t>
            </w:r>
          </w:p>
        </w:tc>
        <w:tc>
          <w:tcPr>
            <w:tcW w:w="6593" w:type="dxa"/>
            <w:gridSpan w:val="3"/>
            <w:vAlign w:val="center"/>
          </w:tcPr>
          <w:p>
            <w:pPr>
              <w:pStyle w:val="42"/>
              <w:keepNext w:val="0"/>
              <w:keepLines w:val="0"/>
              <w:pageBreakBefore w:val="0"/>
              <w:kinsoku/>
              <w:overflowPunct/>
              <w:topLinePunct w:val="0"/>
              <w:autoSpaceDE/>
              <w:autoSpaceDN/>
              <w:bidi w:val="0"/>
              <w:adjustRightInd/>
              <w:snapToGrid/>
              <w:spacing w:line="240" w:lineRule="auto"/>
              <w:ind w:firstLine="228" w:firstLineChars="95"/>
              <w:textAlignment w:val="auto"/>
              <w:rPr>
                <w:rStyle w:val="41"/>
                <w:rFonts w:hint="eastAsia" w:ascii="宋体" w:hAnsi="宋体" w:eastAsia="宋体" w:cs="宋体"/>
                <w:b w:val="0"/>
                <w:bCs w:val="0"/>
                <w:color w:val="auto"/>
                <w:sz w:val="24"/>
                <w:szCs w:val="24"/>
                <w:highlight w:val="none"/>
                <w:lang w:val="zh-TW" w:eastAsia="zh-TW"/>
              </w:rPr>
            </w:pPr>
            <w:r>
              <w:rPr>
                <w:rStyle w:val="41"/>
                <w:rFonts w:hint="eastAsia" w:ascii="宋体" w:hAnsi="宋体" w:eastAsia="宋体" w:cs="宋体"/>
                <w:b w:val="0"/>
                <w:bCs w:val="0"/>
                <w:color w:val="auto"/>
                <w:sz w:val="24"/>
                <w:szCs w:val="24"/>
                <w:highlight w:val="none"/>
                <w:lang w:val="zh-TW" w:eastAsia="zh-TW"/>
              </w:rPr>
              <w:t>（一）具有独立承担民事责任的能力；</w:t>
            </w:r>
          </w:p>
          <w:p>
            <w:pPr>
              <w:pStyle w:val="42"/>
              <w:keepNext w:val="0"/>
              <w:keepLines w:val="0"/>
              <w:pageBreakBefore w:val="0"/>
              <w:kinsoku/>
              <w:overflowPunct/>
              <w:topLinePunct w:val="0"/>
              <w:autoSpaceDE/>
              <w:autoSpaceDN/>
              <w:bidi w:val="0"/>
              <w:adjustRightInd/>
              <w:snapToGrid/>
              <w:spacing w:line="240" w:lineRule="auto"/>
              <w:ind w:firstLine="228" w:firstLineChars="95"/>
              <w:textAlignment w:val="auto"/>
              <w:rPr>
                <w:rStyle w:val="41"/>
                <w:rFonts w:hint="eastAsia" w:ascii="宋体" w:hAnsi="宋体" w:eastAsia="宋体" w:cs="宋体"/>
                <w:b w:val="0"/>
                <w:bCs w:val="0"/>
                <w:color w:val="auto"/>
                <w:sz w:val="24"/>
                <w:szCs w:val="24"/>
                <w:highlight w:val="none"/>
                <w:lang w:val="zh-TW" w:eastAsia="zh-TW"/>
              </w:rPr>
            </w:pPr>
            <w:r>
              <w:rPr>
                <w:rStyle w:val="41"/>
                <w:rFonts w:hint="eastAsia" w:ascii="宋体" w:hAnsi="宋体" w:eastAsia="宋体" w:cs="宋体"/>
                <w:b w:val="0"/>
                <w:bCs w:val="0"/>
                <w:color w:val="auto"/>
                <w:sz w:val="24"/>
                <w:szCs w:val="24"/>
                <w:highlight w:val="none"/>
                <w:lang w:val="zh-TW" w:eastAsia="zh-TW"/>
              </w:rPr>
              <w:t>（二）具有良好的商业信誉和健全的财务会计制度；</w:t>
            </w:r>
          </w:p>
          <w:p>
            <w:pPr>
              <w:pStyle w:val="42"/>
              <w:keepNext w:val="0"/>
              <w:keepLines w:val="0"/>
              <w:pageBreakBefore w:val="0"/>
              <w:kinsoku/>
              <w:overflowPunct/>
              <w:topLinePunct w:val="0"/>
              <w:autoSpaceDE/>
              <w:autoSpaceDN/>
              <w:bidi w:val="0"/>
              <w:adjustRightInd/>
              <w:snapToGrid/>
              <w:spacing w:line="240" w:lineRule="auto"/>
              <w:ind w:firstLine="228" w:firstLineChars="95"/>
              <w:textAlignment w:val="auto"/>
              <w:rPr>
                <w:rStyle w:val="41"/>
                <w:rFonts w:hint="eastAsia" w:ascii="宋体" w:hAnsi="宋体" w:eastAsia="宋体" w:cs="宋体"/>
                <w:b w:val="0"/>
                <w:bCs w:val="0"/>
                <w:color w:val="auto"/>
                <w:sz w:val="24"/>
                <w:szCs w:val="24"/>
                <w:highlight w:val="none"/>
                <w:lang w:val="zh-TW" w:eastAsia="zh-TW"/>
              </w:rPr>
            </w:pPr>
            <w:r>
              <w:rPr>
                <w:rStyle w:val="41"/>
                <w:rFonts w:hint="eastAsia" w:ascii="宋体" w:hAnsi="宋体" w:eastAsia="宋体" w:cs="宋体"/>
                <w:b w:val="0"/>
                <w:bCs w:val="0"/>
                <w:color w:val="auto"/>
                <w:sz w:val="24"/>
                <w:szCs w:val="24"/>
                <w:highlight w:val="none"/>
                <w:lang w:val="zh-TW" w:eastAsia="zh-TW"/>
              </w:rPr>
              <w:t>（三）具有履行合同所必需的设备和专业技术能力；</w:t>
            </w:r>
          </w:p>
          <w:p>
            <w:pPr>
              <w:pStyle w:val="42"/>
              <w:keepNext w:val="0"/>
              <w:keepLines w:val="0"/>
              <w:pageBreakBefore w:val="0"/>
              <w:kinsoku/>
              <w:overflowPunct/>
              <w:topLinePunct w:val="0"/>
              <w:autoSpaceDE/>
              <w:autoSpaceDN/>
              <w:bidi w:val="0"/>
              <w:adjustRightInd/>
              <w:snapToGrid/>
              <w:spacing w:line="240" w:lineRule="auto"/>
              <w:ind w:firstLine="228" w:firstLineChars="95"/>
              <w:textAlignment w:val="auto"/>
              <w:rPr>
                <w:rStyle w:val="41"/>
                <w:rFonts w:hint="eastAsia" w:ascii="宋体" w:hAnsi="宋体" w:eastAsia="宋体" w:cs="宋体"/>
                <w:b w:val="0"/>
                <w:bCs w:val="0"/>
                <w:color w:val="auto"/>
                <w:sz w:val="24"/>
                <w:szCs w:val="24"/>
                <w:highlight w:val="none"/>
                <w:lang w:val="zh-TW" w:eastAsia="zh-TW"/>
              </w:rPr>
            </w:pPr>
            <w:r>
              <w:rPr>
                <w:rStyle w:val="41"/>
                <w:rFonts w:hint="eastAsia" w:ascii="宋体" w:hAnsi="宋体" w:eastAsia="宋体" w:cs="宋体"/>
                <w:b w:val="0"/>
                <w:bCs w:val="0"/>
                <w:color w:val="auto"/>
                <w:sz w:val="24"/>
                <w:szCs w:val="24"/>
                <w:highlight w:val="none"/>
                <w:lang w:val="zh-TW" w:eastAsia="zh-TW"/>
              </w:rPr>
              <w:t>（四）有依法缴纳税收和社会保障资金的良好记录；</w:t>
            </w:r>
          </w:p>
          <w:p>
            <w:pPr>
              <w:pStyle w:val="42"/>
              <w:keepNext w:val="0"/>
              <w:keepLines w:val="0"/>
              <w:pageBreakBefore w:val="0"/>
              <w:kinsoku/>
              <w:overflowPunct/>
              <w:topLinePunct w:val="0"/>
              <w:autoSpaceDE/>
              <w:autoSpaceDN/>
              <w:bidi w:val="0"/>
              <w:adjustRightInd/>
              <w:snapToGrid/>
              <w:spacing w:line="240" w:lineRule="auto"/>
              <w:ind w:firstLine="228" w:firstLineChars="95"/>
              <w:textAlignment w:val="auto"/>
              <w:rPr>
                <w:rStyle w:val="41"/>
                <w:rFonts w:hint="eastAsia" w:ascii="宋体" w:hAnsi="宋体" w:eastAsia="宋体" w:cs="宋体"/>
                <w:b w:val="0"/>
                <w:bCs w:val="0"/>
                <w:color w:val="auto"/>
                <w:sz w:val="24"/>
                <w:szCs w:val="24"/>
                <w:highlight w:val="none"/>
                <w:lang w:val="zh-TW" w:eastAsia="zh-TW"/>
              </w:rPr>
            </w:pPr>
            <w:r>
              <w:rPr>
                <w:rStyle w:val="41"/>
                <w:rFonts w:hint="eastAsia" w:ascii="宋体" w:hAnsi="宋体" w:eastAsia="宋体" w:cs="宋体"/>
                <w:b w:val="0"/>
                <w:bCs w:val="0"/>
                <w:color w:val="auto"/>
                <w:sz w:val="24"/>
                <w:szCs w:val="24"/>
                <w:highlight w:val="none"/>
                <w:lang w:val="zh-TW" w:eastAsia="zh-TW"/>
              </w:rPr>
              <w:t>（五）参加采购活动前三年内，在经营活动中没有重大违法记录；</w:t>
            </w:r>
          </w:p>
          <w:p>
            <w:pPr>
              <w:pStyle w:val="42"/>
              <w:keepNext w:val="0"/>
              <w:keepLines w:val="0"/>
              <w:pageBreakBefore w:val="0"/>
              <w:kinsoku/>
              <w:overflowPunct/>
              <w:topLinePunct w:val="0"/>
              <w:autoSpaceDE/>
              <w:autoSpaceDN/>
              <w:bidi w:val="0"/>
              <w:adjustRightInd/>
              <w:snapToGrid/>
              <w:spacing w:line="240" w:lineRule="auto"/>
              <w:ind w:firstLine="228" w:firstLineChars="95"/>
              <w:textAlignment w:val="auto"/>
              <w:rPr>
                <w:rStyle w:val="41"/>
                <w:rFonts w:hint="eastAsia" w:ascii="宋体" w:hAnsi="宋体" w:eastAsia="宋体" w:cs="宋体"/>
                <w:b w:val="0"/>
                <w:bCs w:val="0"/>
                <w:color w:val="auto"/>
                <w:sz w:val="24"/>
                <w:szCs w:val="24"/>
                <w:highlight w:val="none"/>
                <w:lang w:val="zh-TW" w:eastAsia="zh-TW"/>
              </w:rPr>
            </w:pPr>
            <w:r>
              <w:rPr>
                <w:rStyle w:val="41"/>
                <w:rFonts w:hint="eastAsia" w:ascii="宋体" w:hAnsi="宋体" w:eastAsia="宋体" w:cs="宋体"/>
                <w:b w:val="0"/>
                <w:bCs w:val="0"/>
                <w:color w:val="auto"/>
                <w:sz w:val="24"/>
                <w:szCs w:val="24"/>
                <w:highlight w:val="none"/>
                <w:lang w:val="zh-TW" w:eastAsia="zh-TW"/>
              </w:rPr>
              <w:t>（六）法律、行政法规规定的其他条件；</w:t>
            </w:r>
          </w:p>
          <w:p>
            <w:pPr>
              <w:pStyle w:val="42"/>
              <w:keepNext w:val="0"/>
              <w:keepLines w:val="0"/>
              <w:pageBreakBefore w:val="0"/>
              <w:kinsoku/>
              <w:overflowPunct/>
              <w:topLinePunct w:val="0"/>
              <w:autoSpaceDE/>
              <w:autoSpaceDN/>
              <w:bidi w:val="0"/>
              <w:adjustRightInd/>
              <w:snapToGrid/>
              <w:spacing w:line="240" w:lineRule="auto"/>
              <w:ind w:firstLine="228" w:firstLineChars="95"/>
              <w:textAlignment w:val="auto"/>
              <w:rPr>
                <w:rStyle w:val="41"/>
                <w:rFonts w:hint="eastAsia" w:ascii="宋体" w:hAnsi="宋体" w:eastAsia="宋体" w:cs="宋体"/>
                <w:b w:val="0"/>
                <w:bCs w:val="0"/>
                <w:color w:val="auto"/>
                <w:sz w:val="24"/>
                <w:szCs w:val="24"/>
                <w:highlight w:val="none"/>
                <w:lang w:val="zh-TW" w:eastAsia="zh-TW"/>
              </w:rPr>
            </w:pPr>
            <w:r>
              <w:rPr>
                <w:rStyle w:val="41"/>
                <w:rFonts w:hint="eastAsia" w:ascii="宋体" w:hAnsi="宋体" w:eastAsia="宋体" w:cs="宋体"/>
                <w:b w:val="0"/>
                <w:bCs w:val="0"/>
                <w:color w:val="auto"/>
                <w:sz w:val="24"/>
                <w:szCs w:val="24"/>
                <w:highlight w:val="none"/>
                <w:lang w:val="zh-TW" w:eastAsia="zh-TW"/>
              </w:rPr>
              <w:t>（七）供应商单位及其现任法定代表人、主要负责人不得具有行贿犯罪记录的；</w:t>
            </w:r>
          </w:p>
          <w:p>
            <w:pPr>
              <w:pStyle w:val="42"/>
              <w:keepNext w:val="0"/>
              <w:keepLines w:val="0"/>
              <w:pageBreakBefore w:val="0"/>
              <w:kinsoku/>
              <w:wordWrap w:val="0"/>
              <w:overflowPunct/>
              <w:topLinePunct w:val="0"/>
              <w:autoSpaceDE/>
              <w:autoSpaceDN/>
              <w:bidi w:val="0"/>
              <w:adjustRightInd/>
              <w:snapToGrid/>
              <w:spacing w:line="240" w:lineRule="auto"/>
              <w:ind w:firstLine="228" w:firstLineChars="95"/>
              <w:textAlignment w:val="auto"/>
              <w:rPr>
                <w:rStyle w:val="41"/>
                <w:rFonts w:hint="eastAsia" w:ascii="宋体" w:hAnsi="宋体" w:eastAsia="宋体" w:cs="宋体"/>
                <w:b w:val="0"/>
                <w:bCs w:val="0"/>
                <w:color w:val="auto"/>
                <w:sz w:val="24"/>
                <w:szCs w:val="24"/>
                <w:highlight w:val="none"/>
                <w:lang w:val="zh-TW" w:eastAsia="zh-TW"/>
              </w:rPr>
            </w:pPr>
            <w:r>
              <w:rPr>
                <w:rStyle w:val="41"/>
                <w:rFonts w:hint="eastAsia" w:ascii="宋体" w:hAnsi="宋体" w:eastAsia="宋体" w:cs="宋体"/>
                <w:b w:val="0"/>
                <w:bCs w:val="0"/>
                <w:color w:val="auto"/>
                <w:sz w:val="24"/>
                <w:szCs w:val="24"/>
                <w:highlight w:val="none"/>
                <w:lang w:val="zh-TW" w:eastAsia="zh-TW"/>
              </w:rPr>
              <w:t>（</w:t>
            </w:r>
            <w:r>
              <w:rPr>
                <w:rStyle w:val="41"/>
                <w:rFonts w:hint="eastAsia" w:ascii="宋体" w:hAnsi="宋体" w:eastAsia="宋体" w:cs="宋体"/>
                <w:b w:val="0"/>
                <w:bCs w:val="0"/>
                <w:color w:val="auto"/>
                <w:sz w:val="24"/>
                <w:szCs w:val="24"/>
                <w:highlight w:val="none"/>
                <w:lang w:val="zh-TW"/>
              </w:rPr>
              <w:t>八</w:t>
            </w:r>
            <w:r>
              <w:rPr>
                <w:rStyle w:val="41"/>
                <w:rFonts w:hint="eastAsia" w:ascii="宋体" w:hAnsi="宋体" w:eastAsia="宋体" w:cs="宋体"/>
                <w:b w:val="0"/>
                <w:bCs w:val="0"/>
                <w:color w:val="auto"/>
                <w:sz w:val="24"/>
                <w:szCs w:val="24"/>
                <w:highlight w:val="none"/>
                <w:lang w:val="zh-TW" w:eastAsia="zh-TW"/>
              </w:rPr>
              <w:t>）截止至磋商</w:t>
            </w:r>
            <w:r>
              <w:rPr>
                <w:rStyle w:val="41"/>
                <w:rFonts w:hint="eastAsia" w:ascii="宋体" w:hAnsi="宋体" w:eastAsia="宋体" w:cs="宋体"/>
                <w:b w:val="0"/>
                <w:bCs w:val="0"/>
                <w:color w:val="auto"/>
                <w:sz w:val="24"/>
                <w:szCs w:val="24"/>
                <w:highlight w:val="none"/>
                <w:lang w:val="zh-TW"/>
              </w:rPr>
              <w:t>截止时间</w:t>
            </w:r>
            <w:r>
              <w:rPr>
                <w:rStyle w:val="41"/>
                <w:rFonts w:hint="eastAsia" w:ascii="宋体" w:hAnsi="宋体" w:eastAsia="宋体" w:cs="宋体"/>
                <w:b w:val="0"/>
                <w:bCs w:val="0"/>
                <w:color w:val="auto"/>
                <w:sz w:val="24"/>
                <w:szCs w:val="24"/>
                <w:highlight w:val="none"/>
              </w:rPr>
              <w:t>前一个工作</w:t>
            </w:r>
            <w:r>
              <w:rPr>
                <w:rStyle w:val="41"/>
                <w:rFonts w:hint="eastAsia" w:ascii="宋体" w:hAnsi="宋体" w:eastAsia="宋体" w:cs="宋体"/>
                <w:b w:val="0"/>
                <w:bCs w:val="0"/>
                <w:color w:val="auto"/>
                <w:sz w:val="24"/>
                <w:szCs w:val="24"/>
                <w:highlight w:val="none"/>
                <w:lang w:val="zh-TW" w:eastAsia="zh-TW"/>
              </w:rPr>
              <w:t>日，未在“信用中国”网站等渠道被列入失信被执行人、重大税收违法案件当事人名单、采购严重违法失信行为记录名单。在领取成交通知书时，提供通过“信用中国”网站等渠道查询供应商的信用记录并保存信用记录结果网页截图。如相关失信记录已失效，供应商需提供相关证明资料。若因供应商为事业单位、团体组织、自然人等原因，在“信用中国”网站等渠道未查询到信息的，视为未被列入失信记录。</w:t>
            </w:r>
          </w:p>
          <w:p>
            <w:pPr>
              <w:pStyle w:val="42"/>
              <w:keepNext w:val="0"/>
              <w:keepLines w:val="0"/>
              <w:pageBreakBefore w:val="0"/>
              <w:kinsoku/>
              <w:wordWrap w:val="0"/>
              <w:overflowPunct/>
              <w:topLinePunct w:val="0"/>
              <w:autoSpaceDE/>
              <w:autoSpaceDN/>
              <w:bidi w:val="0"/>
              <w:adjustRightInd/>
              <w:snapToGrid/>
              <w:spacing w:line="240" w:lineRule="auto"/>
              <w:ind w:firstLine="228" w:firstLineChars="95"/>
              <w:textAlignment w:val="auto"/>
              <w:rPr>
                <w:rStyle w:val="41"/>
                <w:rFonts w:hint="eastAsia" w:ascii="宋体" w:hAnsi="宋体" w:eastAsia="宋体" w:cs="宋体"/>
                <w:b w:val="0"/>
                <w:bCs w:val="0"/>
                <w:color w:val="auto"/>
                <w:sz w:val="24"/>
                <w:szCs w:val="24"/>
                <w:highlight w:val="none"/>
                <w:lang w:val="zh-TW"/>
              </w:rPr>
            </w:pPr>
            <w:r>
              <w:rPr>
                <w:rStyle w:val="41"/>
                <w:rFonts w:hint="eastAsia" w:ascii="宋体" w:hAnsi="宋体" w:eastAsia="宋体" w:cs="宋体"/>
                <w:b w:val="0"/>
                <w:bCs w:val="0"/>
                <w:color w:val="auto"/>
                <w:sz w:val="24"/>
                <w:szCs w:val="24"/>
                <w:highlight w:val="none"/>
                <w:lang w:val="zh-TW"/>
              </w:rPr>
              <w:t>（九）</w:t>
            </w:r>
            <w:r>
              <w:rPr>
                <w:rStyle w:val="41"/>
                <w:rFonts w:hint="eastAsia" w:ascii="宋体" w:hAnsi="宋体" w:eastAsia="宋体" w:cs="宋体"/>
                <w:b w:val="0"/>
                <w:bCs w:val="0"/>
                <w:color w:val="auto"/>
                <w:sz w:val="24"/>
                <w:szCs w:val="24"/>
                <w:highlight w:val="none"/>
                <w:lang w:val="zh-TW" w:eastAsia="zh-TW"/>
              </w:rPr>
              <w:t>本项目不</w:t>
            </w:r>
            <w:r>
              <w:rPr>
                <w:rStyle w:val="41"/>
                <w:rFonts w:hint="eastAsia" w:ascii="宋体" w:hAnsi="宋体" w:eastAsia="宋体" w:cs="宋体"/>
                <w:b w:val="0"/>
                <w:bCs w:val="0"/>
                <w:color w:val="auto"/>
                <w:sz w:val="24"/>
                <w:szCs w:val="24"/>
                <w:highlight w:val="none"/>
                <w:lang w:val="zh-TW"/>
              </w:rPr>
              <w:t>允许</w:t>
            </w:r>
            <w:r>
              <w:rPr>
                <w:rStyle w:val="41"/>
                <w:rFonts w:hint="eastAsia" w:ascii="宋体" w:hAnsi="宋体" w:eastAsia="宋体" w:cs="宋体"/>
                <w:b w:val="0"/>
                <w:bCs w:val="0"/>
                <w:color w:val="auto"/>
                <w:sz w:val="24"/>
                <w:szCs w:val="24"/>
                <w:highlight w:val="none"/>
                <w:lang w:val="zh-TW" w:eastAsia="zh-TW"/>
              </w:rPr>
              <w:t>联合体</w:t>
            </w:r>
            <w:r>
              <w:rPr>
                <w:rStyle w:val="41"/>
                <w:rFonts w:hint="eastAsia" w:ascii="宋体" w:hAnsi="宋体" w:eastAsia="宋体" w:cs="宋体"/>
                <w:b w:val="0"/>
                <w:bCs w:val="0"/>
                <w:color w:val="auto"/>
                <w:sz w:val="24"/>
                <w:szCs w:val="24"/>
                <w:highlight w:val="none"/>
                <w:lang w:val="zh-TW"/>
              </w:rPr>
              <w:t>磋商。</w:t>
            </w:r>
          </w:p>
          <w:p>
            <w:pPr>
              <w:pStyle w:val="42"/>
              <w:keepNext w:val="0"/>
              <w:keepLines w:val="0"/>
              <w:pageBreakBefore w:val="0"/>
              <w:kinsoku/>
              <w:wordWrap w:val="0"/>
              <w:overflowPunct/>
              <w:topLinePunct w:val="0"/>
              <w:autoSpaceDE/>
              <w:autoSpaceDN/>
              <w:bidi w:val="0"/>
              <w:adjustRightInd/>
              <w:snapToGrid/>
              <w:spacing w:line="240" w:lineRule="auto"/>
              <w:ind w:firstLine="228" w:firstLineChars="95"/>
              <w:textAlignment w:val="auto"/>
              <w:rPr>
                <w:rStyle w:val="41"/>
                <w:rFonts w:hint="eastAsia" w:ascii="宋体" w:hAnsi="宋体" w:eastAsia="宋体" w:cs="宋体"/>
                <w:b w:val="0"/>
                <w:bCs w:val="0"/>
                <w:color w:val="auto"/>
                <w:sz w:val="24"/>
                <w:szCs w:val="24"/>
                <w:highlight w:val="none"/>
                <w:lang w:val="en-US"/>
              </w:rPr>
            </w:pPr>
            <w:r>
              <w:rPr>
                <w:rStyle w:val="41"/>
                <w:rFonts w:hint="eastAsia" w:ascii="宋体" w:hAnsi="宋体" w:eastAsia="宋体" w:cs="宋体"/>
                <w:b w:val="0"/>
                <w:bCs w:val="0"/>
                <w:color w:val="auto"/>
                <w:sz w:val="24"/>
                <w:szCs w:val="24"/>
                <w:highlight w:val="none"/>
                <w:lang w:val="zh-TW"/>
              </w:rPr>
              <w:t>（十）供应商需具备建设行政主管部门核发的建筑消防设施工程专业承包二级资质等级以上；</w:t>
            </w:r>
          </w:p>
          <w:p>
            <w:pPr>
              <w:pStyle w:val="42"/>
              <w:keepNext w:val="0"/>
              <w:keepLines w:val="0"/>
              <w:pageBreakBefore w:val="0"/>
              <w:kinsoku/>
              <w:wordWrap w:val="0"/>
              <w:overflowPunct/>
              <w:topLinePunct w:val="0"/>
              <w:autoSpaceDE/>
              <w:autoSpaceDN/>
              <w:bidi w:val="0"/>
              <w:adjustRightInd/>
              <w:snapToGrid/>
              <w:spacing w:line="240" w:lineRule="auto"/>
              <w:ind w:firstLine="228" w:firstLineChars="95"/>
              <w:textAlignment w:val="auto"/>
              <w:rPr>
                <w:rFonts w:hint="eastAsia" w:ascii="宋体" w:hAnsi="宋体" w:eastAsia="宋体" w:cs="宋体"/>
                <w:b w:val="0"/>
                <w:bCs w:val="0"/>
                <w:color w:val="auto"/>
                <w:sz w:val="24"/>
                <w:szCs w:val="24"/>
                <w:highlight w:val="none"/>
                <w:lang w:val="zh-TW"/>
              </w:rPr>
            </w:pPr>
            <w:r>
              <w:rPr>
                <w:rStyle w:val="41"/>
                <w:rFonts w:hint="eastAsia" w:ascii="宋体" w:hAnsi="宋体" w:eastAsia="宋体" w:cs="宋体"/>
                <w:b w:val="0"/>
                <w:bCs w:val="0"/>
                <w:color w:val="auto"/>
                <w:sz w:val="24"/>
                <w:szCs w:val="24"/>
                <w:highlight w:val="none"/>
                <w:lang w:val="zh-TW"/>
              </w:rPr>
              <w:t>（十一）</w:t>
            </w:r>
            <w:r>
              <w:rPr>
                <w:rFonts w:hint="eastAsia" w:ascii="宋体" w:hAnsi="宋体" w:eastAsia="宋体" w:cs="宋体"/>
                <w:b w:val="0"/>
                <w:bCs w:val="0"/>
                <w:color w:val="auto"/>
                <w:sz w:val="24"/>
                <w:szCs w:val="24"/>
                <w:highlight w:val="none"/>
                <w:lang w:val="zh-CN"/>
              </w:rPr>
              <w:t>供应商的企业注册地不在四川省行政区域内的外地企业，须提供有效的《四川省省外建筑企业入川承揽业务验证登记证》或《四川省省外施工、监理入川承揽业务省厅基本信息录入证》或《四川省省外建筑企业入川信息电子登记证》</w:t>
            </w:r>
          </w:p>
          <w:p>
            <w:pPr>
              <w:keepNext w:val="0"/>
              <w:keepLines w:val="0"/>
              <w:pageBreakBefore w:val="0"/>
              <w:kinsoku/>
              <w:overflowPunct/>
              <w:topLinePunct w:val="0"/>
              <w:autoSpaceDE/>
              <w:autoSpaceDN/>
              <w:bidi w:val="0"/>
              <w:adjustRightInd/>
              <w:snapToGrid/>
              <w:spacing w:line="240" w:lineRule="auto"/>
              <w:jc w:val="left"/>
              <w:textAlignment w:val="auto"/>
              <w:rPr>
                <w:rFonts w:hint="eastAsia" w:ascii="宋体" w:hAnsi="宋体" w:eastAsia="宋体" w:cs="宋体"/>
                <w:b w:val="0"/>
                <w:bCs w:val="0"/>
                <w:color w:val="auto"/>
                <w:sz w:val="24"/>
                <w:szCs w:val="24"/>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sz w:val="24"/>
                <w:szCs w:val="24"/>
                <w:highlight w:val="none"/>
                <w:vertAlign w:val="baseline"/>
                <w:lang w:eastAsia="zh-CN"/>
              </w:rPr>
              <w:t>采购项目需要落实的政府采购政策</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kern w:val="0"/>
                <w:sz w:val="24"/>
                <w:szCs w:val="24"/>
                <w:highlight w:val="none"/>
                <w:lang w:val="en-US" w:eastAsia="zh-CN"/>
              </w:rPr>
              <w:t>政府采购促进中小企业发展政策、政府采购支持监狱企业发展政策、促进残疾人就业政府采购政策、政府采购优先购买节能产品政策、政府采购优先购买环境标志产品政策、强制节能产品清单、优先采购无线局域网产品、</w:t>
            </w:r>
            <w:r>
              <w:rPr>
                <w:rFonts w:hint="eastAsia" w:ascii="宋体" w:hAnsi="宋体" w:eastAsia="宋体" w:cs="宋体"/>
                <w:b w:val="0"/>
                <w:bCs w:val="0"/>
                <w:color w:val="auto"/>
                <w:kern w:val="0"/>
                <w:sz w:val="24"/>
                <w:szCs w:val="24"/>
                <w:highlight w:val="none"/>
                <w:lang w:val="zh-CN" w:eastAsia="zh-CN"/>
              </w:rPr>
              <w:t>扶持不发达地区和少数民族地区。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929" w:type="dxa"/>
            <w:vAlign w:val="center"/>
          </w:tcPr>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sz w:val="24"/>
                <w:szCs w:val="24"/>
                <w:highlight w:val="none"/>
                <w:vertAlign w:val="baseline"/>
                <w:lang w:eastAsia="zh-CN"/>
              </w:rPr>
              <w:t>其它补充事宜</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sz w:val="24"/>
                <w:szCs w:val="24"/>
                <w:highlight w:val="none"/>
                <w:vertAlign w:val="baseline"/>
                <w:lang w:eastAsia="zh-CN"/>
              </w:rPr>
            </w:pPr>
            <w:r>
              <w:rPr>
                <w:rFonts w:hint="eastAsia" w:ascii="宋体" w:hAnsi="宋体" w:eastAsia="宋体" w:cs="宋体"/>
                <w:b w:val="0"/>
                <w:bCs w:val="0"/>
                <w:color w:val="auto"/>
                <w:sz w:val="24"/>
                <w:szCs w:val="24"/>
                <w:highlight w:val="none"/>
                <w:vertAlign w:val="baseline"/>
                <w:lang w:eastAsia="zh-CN"/>
              </w:rPr>
              <w:t>（即备注）</w:t>
            </w:r>
          </w:p>
        </w:tc>
        <w:tc>
          <w:tcPr>
            <w:tcW w:w="6593" w:type="dxa"/>
            <w:gridSpan w:val="3"/>
            <w:vAlign w:val="center"/>
          </w:tcPr>
          <w:p>
            <w:pPr>
              <w:keepNext w:val="0"/>
              <w:keepLines w:val="0"/>
              <w:pageBreakBefore w:val="0"/>
              <w:kinsoku/>
              <w:overflowPunct/>
              <w:topLinePunct w:val="0"/>
              <w:autoSpaceDE/>
              <w:autoSpaceDN/>
              <w:bidi w:val="0"/>
              <w:adjustRightInd/>
              <w:snapToGrid/>
              <w:spacing w:line="240" w:lineRule="auto"/>
              <w:jc w:val="left"/>
              <w:textAlignment w:val="auto"/>
              <w:rPr>
                <w:rFonts w:hint="eastAsia"/>
                <w:color w:val="auto"/>
                <w:highlight w:val="none"/>
              </w:rPr>
            </w:pPr>
            <w:r>
              <w:rPr>
                <w:rFonts w:hint="eastAsia"/>
                <w:color w:val="auto"/>
                <w:highlight w:val="none"/>
              </w:rPr>
              <w:t>1、本采购公告的公告期限为</w:t>
            </w:r>
            <w:r>
              <w:rPr>
                <w:rFonts w:hint="eastAsia"/>
                <w:color w:val="auto"/>
                <w:highlight w:val="none"/>
                <w:lang w:val="en-US" w:eastAsia="zh-CN"/>
              </w:rPr>
              <w:t>3</w:t>
            </w:r>
            <w:r>
              <w:rPr>
                <w:rFonts w:hint="eastAsia"/>
                <w:color w:val="auto"/>
                <w:highlight w:val="none"/>
              </w:rPr>
              <w:t>个工作日；</w:t>
            </w:r>
          </w:p>
          <w:p>
            <w:pPr>
              <w:keepNext w:val="0"/>
              <w:keepLines w:val="0"/>
              <w:pageBreakBefore w:val="0"/>
              <w:kinsoku/>
              <w:overflowPunct/>
              <w:topLinePunct w:val="0"/>
              <w:autoSpaceDE/>
              <w:autoSpaceDN/>
              <w:bidi w:val="0"/>
              <w:adjustRightInd/>
              <w:snapToGrid/>
              <w:spacing w:line="240" w:lineRule="auto"/>
              <w:jc w:val="left"/>
              <w:textAlignment w:val="auto"/>
              <w:rPr>
                <w:rFonts w:hint="eastAsia"/>
                <w:color w:val="auto"/>
                <w:highlight w:val="none"/>
                <w:lang w:eastAsia="zh-CN"/>
              </w:rPr>
            </w:pPr>
            <w:r>
              <w:rPr>
                <w:rFonts w:hint="eastAsia"/>
                <w:color w:val="auto"/>
                <w:highlight w:val="none"/>
              </w:rPr>
              <w:t>2、预算：350260元，</w:t>
            </w:r>
            <w:r>
              <w:rPr>
                <w:rFonts w:hint="eastAsia"/>
                <w:color w:val="auto"/>
                <w:highlight w:val="none"/>
                <w:lang w:eastAsia="zh-CN"/>
              </w:rPr>
              <w:t>单项最高限价：</w:t>
            </w:r>
            <w:r>
              <w:rPr>
                <w:rFonts w:hint="eastAsia"/>
                <w:color w:val="auto"/>
                <w:highlight w:val="none"/>
              </w:rPr>
              <w:t>制药厂消防自动报警系统、气体自动灭火系统最高限价60260元；成都体育学院校内消防自动报警系统、气体自动灭火系统最高限价290000元</w:t>
            </w:r>
            <w:r>
              <w:rPr>
                <w:rFonts w:hint="eastAsia"/>
                <w:color w:val="auto"/>
                <w:highlight w:val="none"/>
                <w:lang w:eastAsia="zh-CN"/>
              </w:rPr>
              <w:t>。</w:t>
            </w:r>
          </w:p>
          <w:p>
            <w:pPr>
              <w:pStyle w:val="2"/>
              <w:rPr>
                <w:rFonts w:hint="default"/>
                <w:color w:val="auto"/>
                <w:highlight w:val="none"/>
                <w:lang w:val="en-US"/>
              </w:rPr>
            </w:pPr>
            <w:r>
              <w:rPr>
                <w:rFonts w:hint="eastAsia" w:hAnsi="宋体" w:cs="宋体"/>
                <w:b w:val="0"/>
                <w:bCs w:val="0"/>
                <w:color w:val="auto"/>
                <w:sz w:val="24"/>
                <w:szCs w:val="24"/>
                <w:highlight w:val="none"/>
                <w:vertAlign w:val="baseline"/>
                <w:lang w:val="en-US" w:eastAsia="zh-CN"/>
              </w:rPr>
              <w:t>3、</w:t>
            </w:r>
            <w:r>
              <w:rPr>
                <w:rFonts w:hint="eastAsia" w:ascii="宋体" w:hAnsi="宋体" w:eastAsia="宋体" w:cs="宋体"/>
                <w:b w:val="0"/>
                <w:bCs w:val="0"/>
                <w:color w:val="auto"/>
                <w:sz w:val="24"/>
                <w:szCs w:val="24"/>
                <w:highlight w:val="none"/>
                <w:lang w:eastAsia="zh-CN"/>
              </w:rPr>
              <w:t>中午</w:t>
            </w:r>
            <w:r>
              <w:rPr>
                <w:rFonts w:hint="eastAsia" w:ascii="宋体" w:hAnsi="宋体" w:eastAsia="宋体" w:cs="宋体"/>
                <w:b w:val="0"/>
                <w:bCs w:val="0"/>
                <w:color w:val="auto"/>
                <w:sz w:val="24"/>
                <w:szCs w:val="24"/>
                <w:highlight w:val="none"/>
                <w:lang w:val="en-US" w:eastAsia="zh-CN"/>
              </w:rPr>
              <w:t>12:00-13:30分不售卖文件</w:t>
            </w:r>
            <w:r>
              <w:rPr>
                <w:rFonts w:hint="eastAsia" w:hAnsi="宋体" w:cs="宋体"/>
                <w:b w:val="0"/>
                <w:bCs w:val="0"/>
                <w:color w:val="auto"/>
                <w:sz w:val="24"/>
                <w:szCs w:val="24"/>
                <w:highlight w:val="none"/>
                <w:lang w:val="en-US" w:eastAsia="zh-CN"/>
              </w:rPr>
              <w:t>。</w:t>
            </w:r>
          </w:p>
        </w:tc>
      </w:tr>
    </w:tbl>
    <w:p>
      <w:pPr>
        <w:rPr>
          <w:color w:val="auto"/>
          <w:highlight w:val="none"/>
        </w:rPr>
      </w:pPr>
    </w:p>
    <w:p>
      <w:pPr>
        <w:rPr>
          <w:rFonts w:hint="eastAsia"/>
          <w:color w:val="auto"/>
          <w:highlight w:val="none"/>
          <w:lang w:eastAsia="zh-CN"/>
        </w:rPr>
      </w:pPr>
    </w:p>
    <w:p>
      <w:pPr>
        <w:rPr>
          <w:rFonts w:hint="eastAsia"/>
          <w:color w:val="auto"/>
          <w:highlight w:val="none"/>
          <w:lang w:eastAsia="zh-CN"/>
        </w:rPr>
      </w:pPr>
      <w:r>
        <w:rPr>
          <w:rFonts w:hint="eastAsia"/>
          <w:color w:val="auto"/>
          <w:highlight w:val="none"/>
          <w:lang w:eastAsia="zh-CN"/>
        </w:rPr>
        <w:t>附件：</w:t>
      </w:r>
      <w:bookmarkStart w:id="0" w:name="_GoBack"/>
      <w:bookmarkEnd w:id="0"/>
    </w:p>
    <w:p>
      <w:pPr>
        <w:spacing w:line="540" w:lineRule="exact"/>
        <w:ind w:firstLine="602" w:firstLineChars="200"/>
        <w:rPr>
          <w:rFonts w:asciiTheme="minorEastAsia" w:hAnsiTheme="minorEastAsia" w:eastAsiaTheme="minorEastAsia" w:cstheme="minorEastAsia"/>
          <w:b/>
          <w:color w:val="auto"/>
          <w:spacing w:val="30"/>
          <w:sz w:val="24"/>
          <w:szCs w:val="24"/>
          <w:highlight w:val="none"/>
        </w:rPr>
      </w:pPr>
      <w:r>
        <w:rPr>
          <w:rFonts w:hint="eastAsia" w:asciiTheme="minorEastAsia" w:hAnsiTheme="minorEastAsia" w:eastAsiaTheme="minorEastAsia" w:cstheme="minorEastAsia"/>
          <w:b/>
          <w:color w:val="auto"/>
          <w:spacing w:val="30"/>
          <w:sz w:val="24"/>
          <w:szCs w:val="24"/>
          <w:highlight w:val="none"/>
        </w:rPr>
        <w:t>一、工程概述及内容：</w:t>
      </w:r>
    </w:p>
    <w:p>
      <w:pPr>
        <w:adjustRightInd w:val="0"/>
        <w:snapToGrid w:val="0"/>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程概况∶成都体育学院图书馆、档案馆、第一教学楼（博物馆）、第二教学楼（实验室、标本室、化学储存室）、研究所（健康大厦二楼实验室）、制药厂增设消防自动报警系统；第二教学楼（实验室、标本室、化学储存室）、研究所（健康大厦二楼实验室）、制药厂增设气体自动灭火系统。</w:t>
      </w:r>
    </w:p>
    <w:p>
      <w:pPr>
        <w:tabs>
          <w:tab w:val="left" w:pos="7170"/>
        </w:tabs>
        <w:spacing w:line="540" w:lineRule="exact"/>
        <w:ind w:firstLine="600" w:firstLineChars="200"/>
        <w:rPr>
          <w:rFonts w:asciiTheme="minorEastAsia" w:hAnsiTheme="minorEastAsia" w:eastAsiaTheme="minorEastAsia" w:cstheme="minorEastAsia"/>
          <w:color w:val="auto"/>
          <w:spacing w:val="30"/>
          <w:sz w:val="24"/>
          <w:szCs w:val="24"/>
          <w:highlight w:val="none"/>
        </w:rPr>
      </w:pPr>
      <w:r>
        <w:rPr>
          <w:rFonts w:hint="eastAsia" w:asciiTheme="minorEastAsia" w:hAnsiTheme="minorEastAsia" w:eastAsiaTheme="minorEastAsia" w:cstheme="minorEastAsia"/>
          <w:color w:val="auto"/>
          <w:spacing w:val="30"/>
          <w:sz w:val="24"/>
          <w:szCs w:val="24"/>
          <w:highlight w:val="none"/>
        </w:rPr>
        <w:t>2、工程内容：详见工程量清单</w:t>
      </w:r>
    </w:p>
    <w:p>
      <w:pPr>
        <w:tabs>
          <w:tab w:val="left" w:pos="7170"/>
        </w:tabs>
        <w:spacing w:line="540" w:lineRule="exact"/>
        <w:ind w:firstLine="482" w:firstLineChars="200"/>
        <w:rPr>
          <w:rFonts w:asciiTheme="minorEastAsia" w:hAnsiTheme="minorEastAsia" w:eastAsiaTheme="minorEastAsia" w:cstheme="minorEastAsia"/>
          <w:b/>
          <w:color w:val="auto"/>
          <w:spacing w:val="30"/>
          <w:sz w:val="24"/>
          <w:szCs w:val="24"/>
          <w:highlight w:val="none"/>
        </w:rPr>
      </w:pPr>
      <w:r>
        <w:rPr>
          <w:rFonts w:hint="eastAsia" w:asciiTheme="minorEastAsia" w:hAnsiTheme="minorEastAsia" w:eastAsiaTheme="minorEastAsia" w:cstheme="minorEastAsia"/>
          <w:b/>
          <w:color w:val="auto"/>
          <w:sz w:val="24"/>
          <w:szCs w:val="24"/>
          <w:highlight w:val="none"/>
        </w:rPr>
        <w:t>二、</w:t>
      </w:r>
      <w:r>
        <w:rPr>
          <w:rFonts w:hint="eastAsia" w:asciiTheme="minorEastAsia" w:hAnsiTheme="minorEastAsia" w:eastAsiaTheme="minorEastAsia" w:cstheme="minorEastAsia"/>
          <w:b/>
          <w:color w:val="auto"/>
          <w:spacing w:val="30"/>
          <w:sz w:val="24"/>
          <w:szCs w:val="24"/>
          <w:highlight w:val="none"/>
        </w:rPr>
        <w:t>施工要求</w:t>
      </w:r>
    </w:p>
    <w:p>
      <w:pPr>
        <w:tabs>
          <w:tab w:val="left" w:pos="7170"/>
        </w:tabs>
        <w:spacing w:line="540" w:lineRule="exact"/>
        <w:ind w:firstLine="600" w:firstLineChars="200"/>
        <w:rPr>
          <w:rFonts w:asciiTheme="minorEastAsia" w:hAnsiTheme="minorEastAsia" w:eastAsiaTheme="minorEastAsia" w:cstheme="minorEastAsia"/>
          <w:color w:val="auto"/>
          <w:spacing w:val="30"/>
          <w:sz w:val="24"/>
          <w:szCs w:val="24"/>
          <w:highlight w:val="none"/>
        </w:rPr>
      </w:pPr>
      <w:r>
        <w:rPr>
          <w:rFonts w:hint="eastAsia" w:asciiTheme="minorEastAsia" w:hAnsiTheme="minorEastAsia" w:eastAsiaTheme="minorEastAsia" w:cstheme="minorEastAsia"/>
          <w:color w:val="auto"/>
          <w:spacing w:val="30"/>
          <w:sz w:val="24"/>
          <w:szCs w:val="24"/>
          <w:highlight w:val="none"/>
        </w:rPr>
        <w:t>详见工程量清单中特征描述</w:t>
      </w:r>
    </w:p>
    <w:p>
      <w:pPr>
        <w:tabs>
          <w:tab w:val="left" w:pos="7170"/>
        </w:tabs>
        <w:spacing w:line="540" w:lineRule="exact"/>
        <w:ind w:firstLine="482" w:firstLineChars="200"/>
        <w:rPr>
          <w:rFonts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三、材料产品要求</w:t>
      </w:r>
    </w:p>
    <w:p>
      <w:pPr>
        <w:tabs>
          <w:tab w:val="left" w:pos="7170"/>
        </w:tabs>
        <w:spacing w:line="54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详见工程量清单中说明。</w:t>
      </w:r>
      <w:r>
        <w:rPr>
          <w:rFonts w:hint="eastAsia" w:asciiTheme="minorEastAsia" w:hAnsiTheme="minorEastAsia" w:eastAsiaTheme="minorEastAsia" w:cstheme="minorEastAsia"/>
          <w:color w:val="auto"/>
          <w:sz w:val="24"/>
          <w:szCs w:val="24"/>
          <w:highlight w:val="none"/>
          <w:lang w:eastAsia="zh-CN"/>
        </w:rPr>
        <w:t>采购</w:t>
      </w:r>
      <w:r>
        <w:rPr>
          <w:rFonts w:hint="eastAsia" w:asciiTheme="minorEastAsia" w:hAnsiTheme="minorEastAsia" w:eastAsiaTheme="minorEastAsia" w:cstheme="minorEastAsia"/>
          <w:color w:val="auto"/>
          <w:sz w:val="24"/>
          <w:szCs w:val="24"/>
          <w:highlight w:val="none"/>
        </w:rPr>
        <w:t xml:space="preserve">主要材料进场前需提供产品质量合格证。 </w:t>
      </w:r>
    </w:p>
    <w:p>
      <w:pPr>
        <w:spacing w:line="540" w:lineRule="exact"/>
        <w:ind w:right="-82" w:rightChars="-39" w:firstLine="482" w:firstLineChars="200"/>
        <w:rPr>
          <w:rFonts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四、工程质量标准</w:t>
      </w:r>
    </w:p>
    <w:p>
      <w:pPr>
        <w:spacing w:line="540" w:lineRule="exact"/>
        <w:ind w:right="-82" w:rightChars="-39"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采购</w:t>
      </w:r>
      <w:r>
        <w:rPr>
          <w:rFonts w:hint="eastAsia" w:asciiTheme="minorEastAsia" w:hAnsiTheme="minorEastAsia" w:eastAsiaTheme="minorEastAsia" w:cstheme="minorEastAsia"/>
          <w:color w:val="auto"/>
          <w:sz w:val="24"/>
          <w:szCs w:val="24"/>
          <w:highlight w:val="none"/>
        </w:rPr>
        <w:t>产品及工程质量应符合国家现行相关施工验收规范标准，应符合我国制定的相关规定。</w:t>
      </w:r>
    </w:p>
    <w:p>
      <w:pPr>
        <w:spacing w:line="540" w:lineRule="exact"/>
        <w:ind w:right="-82" w:rightChars="-39" w:firstLine="602" w:firstLineChars="200"/>
        <w:rPr>
          <w:rFonts w:asciiTheme="minorEastAsia" w:hAnsiTheme="minorEastAsia" w:eastAsiaTheme="minorEastAsia" w:cstheme="minorEastAsia"/>
          <w:b/>
          <w:color w:val="auto"/>
          <w:spacing w:val="30"/>
          <w:sz w:val="24"/>
          <w:szCs w:val="24"/>
          <w:highlight w:val="none"/>
        </w:rPr>
      </w:pPr>
      <w:r>
        <w:rPr>
          <w:rFonts w:hint="eastAsia" w:asciiTheme="minorEastAsia" w:hAnsiTheme="minorEastAsia" w:eastAsiaTheme="minorEastAsia" w:cstheme="minorEastAsia"/>
          <w:b/>
          <w:color w:val="auto"/>
          <w:spacing w:val="30"/>
          <w:sz w:val="24"/>
          <w:szCs w:val="24"/>
          <w:highlight w:val="none"/>
        </w:rPr>
        <w:t>五、技术要求</w:t>
      </w:r>
    </w:p>
    <w:p>
      <w:pPr>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（一）制药厂消防报警系统参数</w:t>
      </w:r>
    </w:p>
    <w:p>
      <w:pPr>
        <w:rPr>
          <w:rFonts w:asciiTheme="minorEastAsia" w:hAnsiTheme="minorEastAsia" w:eastAsiaTheme="minorEastAsia" w:cstheme="minorEastAsia"/>
          <w:color w:val="auto"/>
          <w:sz w:val="24"/>
          <w:szCs w:val="24"/>
          <w:highlight w:val="none"/>
        </w:rPr>
      </w:pPr>
    </w:p>
    <w:p>
      <w:pPr>
        <w:numPr>
          <w:ilvl w:val="0"/>
          <w:numId w:val="1"/>
        </w:num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防爆型感烟探测器主要技术指标</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(1) 工作电压：</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信号总线电压：总线 24V 允许范围：16V～28V</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(2) 工作电流：监视电流≤0.3mA；报警电流≤1.0mA</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(3) 指示灯：红色，巡检时闪烁，报警时常亮</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(4) 防爆标志：Ex ib IIC T6 Gb</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(5) 安全栅参数：U 0 =28V I 0 =115mA C 0 =0.083μF L 0 =4mH P 0 =0.8W</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(6) 设备最大输入参数：Ui=28V Ii=115mA Ci=0 Li=0 Pi=0.8W</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(7) 线制：信号二总线无极性</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(8) 编码方式：电子编码（编码范围为1～242）</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(9) 使用环境：温 度：-10℃～+55℃；相对湿度≤95%，不凝露</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(10) 探测器尺寸：直径：103mm 高；55mm（带底座）</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2、防爆型手动报警按钮主要技术指标</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(1) 工作电压：电源总线电压 DC24V 允许范围：DC16V～DC28V</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(2) 监视电流：0mA</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(3) 报警电流≤30mA</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(4) 安全栅输出参数：U 0 =28V，I 0 =93mA</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(5) 防爆标志：：ExibⅡCT6 Gb</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(6) 火警指示灯：红色，正常时熄灭，报警后点亮</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(7) 使用环境：温度：-10℃～+55℃；相对湿度≤95%，不结露</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(8) 外壳防护等级：IP40</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(9) 外形尺寸：95.4mm×98.4mm×45.5mm（带底壳）</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3、防爆型火灾声光警报器主要技术指标</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(1) 工作电压：DC24V 允许范围：DC10V～DC28V</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(2) 工作电流：动作电流≤35mA</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(3) 闪光频率：1.4Hz±20%</w:t>
      </w: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color w:val="auto"/>
          <w:sz w:val="24"/>
          <w:szCs w:val="24"/>
          <w:highlight w:val="none"/>
        </w:rPr>
        <w:t>(4) 声压级：80dB～115dB（正前方 3m 水平处（A 计权））</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cr/>
      </w:r>
      <w:r>
        <w:rPr>
          <w:rFonts w:hint="eastAsia" w:asciiTheme="minorEastAsia" w:hAnsiTheme="minorEastAsia" w:eastAsiaTheme="minorEastAsia" w:cstheme="minorEastAsia"/>
          <w:b/>
          <w:bCs/>
          <w:color w:val="auto"/>
          <w:sz w:val="24"/>
          <w:szCs w:val="24"/>
          <w:highlight w:val="none"/>
        </w:rPr>
        <w:t>（二）成都体育学院报警系统主要设备参数</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1、智能感烟探测器主要技术指标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（1）工作电压：总线 24V</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（2）监视电流≤0.8mA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（3）报警电流≤1.8mA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（4）报警确认灯：红色，巡检时闪烁，报警时常亮</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（5）使用环境：温度：-10℃～+55℃；相对湿度≤95%，不结露</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（6）编码方式：十进制电子编码</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（7）外壳防护等级：IP23</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（8）外形尺寸：直径：100mm，高：56mm(带底座)</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2、智能感温探测器主要技术指标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（1）探测器类别：P（A1R 和 BS 可设，出厂默认类别在探测器铭牌上标注）</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（2）工作电压：总线 24V</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（3）监视电流≤0.8mA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（4）报警电流≤1.8mA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（5）报警确认灯：红色，巡检时闪烁，报警时常亮</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（6）使用环境：</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温 度： A1R 类别：典型应用温度 25℃；范围-10℃～50℃</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BS 类别：典型应用温度 40℃；范围-10℃～65℃</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相对湿度≤95%，不结露</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（7）编码方式：十进制电子编码</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（8）外壳防护等级：IP33</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（9）外形尺寸：直径：100mm，高：58mm(带底座)</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3、手动报警按钮主要技术指标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（1）工作电压：总线 24V</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（2）监视电流≤0.6mA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（3）报警电流≤1.8mA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（4）线制：与控制器采用无极性信号二总线连接，与 GST-LD-8304 采用二线制连接</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（5）额定 DC30V/100mA 无源输出触点信号，接触电阻≤0.1 </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（6）使用环境：温度：-10℃～+55℃；相对湿度≤95%，不结露</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（7）外壳防护等级：IP40</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（8）外形尺寸：95.4mm×98.4mm×45.5mm（带底壳）</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4、火灾声光报警主要技术指标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（1）工作电压：</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信号总线电压：24V 允许范围：16V～28V</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电源总线电压：DC24V 允许范围：DC20V～DC28V</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（2）工作电流：</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总线监视电流≤0.8mA 总线启动电流≤6.0mA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电源监视电流≤10mA 电源动作电流≤90Ma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（3）线制：四线制，与控制器采用无极性信号二总线连接，与电源线采用无极性二线制连接</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（4）火警声调声压级： 80dB ～ 115dB （前方 3m 水平处（ A 计权））</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机关枪声调声压级： 80dB ～ 115dB （前方 3m 水平处（ A 计权））（仅适用于 GST-HX-200B型火灾声光警报器）</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（5）闪光频率： 1.1Hz～1.8Hz（DC20V～DC28V）</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（6）火警声变调周期： 3.2s ～ 4.8s；机关枪声调不涉及变调周期</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（7）声调：火警声、机关枪声（仅适用于 GST-HX-200B 型火灾声光警报器）</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（8）使用环境：温度： -10 ℃～ +50 ℃；相对湿度≤95%，不结露</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（9）外壳防护等级： IP43</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（10）执行标准： GB 26851-2011</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（11）外形尺寸：90mm×144mm×60.5mm （带底壳）</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5、总线短路隔离模块主要技术指标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（1）工作电压：总线 24V</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（2）动作电流≤100mA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（3）动作确认灯：黄色</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（4）使用环境：温度：-10℃～+50℃；相对湿度≤95%，不结露</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（5）外壳防护等级：IP30</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（6）外形尺寸：86mm×86mm×43mm（带底壳）</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6、消防端子箱主要技术指标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（1）材料内外表面均进行喷塑处理</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（2）外形尺寸：305mm×305mm×78mm</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（3）端子数量:40 支</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7、火灾报警控制器（联动型）主要技术指标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 液晶屏规格：240×160 点，可同屏显示 150 个汉字信息</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 控制器容量：</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a. 最大容量为 242 个地址编码点</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b. 可外接 64 台火灾显示盘；联网时最多可接 32 台其它类型控制器</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c. 30 个直接手动操作总线制控制点</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d. 配置 6 路直接控制点</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 线制：</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a. 控制器与探测器间采用无极性信号二总线连接</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b. 直接控制点与现场设备(切换模块)采用两线有极性连接，最大连接线</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长度不宜超过 1000m。</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c. 控制器与各类编码模块采用四总线连接（无极性信号二总线、无极性 DC24V 电源线）</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d. 控制器与火灾显示盘采用四总线连接（有极性通讯二总线、无极性 DC24V 电源线）</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e. 与彩色 CRT 系统通过 RS-232 标准接口连接，最大连接线长度不宜超过 15m</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（4）使用环境：温度：0℃～+40℃；相对湿度≤95%，不结露</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（5）电源：主电为交流 220V 电压变化范围 ＋10%～－15%，内装 DC12V 10Ah 密封铅酸</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电池作备电</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（6）功耗≤25W</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（7）外形尺寸：380mm×143mm×534mm</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8、火灾报警控制器主要技术指标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 液晶屏规格：122×32 点</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 控制器容量：最大 128 个总线设备，8 个警报器</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 线制：控制器与探测器间采用无极性信号二总线连接</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 使用环境：温度：0℃～＋40℃；相对湿度≤95％，不结露</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 电源：主电:AC220V +10% -15%；备电：DC24V 2.3Ah 密封铅酸电池</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 功耗：监控功耗≤10W；最大功耗≤15W</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 辅助电源输出：24V/1A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 控制器外形尺寸：300mm×210mm×91mm</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9、气体释放指示灯主要技术指标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 工作电压：</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信号总线电压：24V 允许范围：16V～28V</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电源总线电压：DC24V 允许范围：DC20V～DC28V</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 工作电流：</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信号总线监视电流≤1mA 电源总线监视电流≤2mA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信号总线动作电流≤2mA 电源总线动作电流≤30mA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 闪光频率：1.0Hz ~ 1.6Hz</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 编码方式：电子编码方式，编码范围可在 1～242 之间任意设定</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 线制：与气体灭火控制器采用四线连接。其中两线接总线，无极性；</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另外两线接电源 DC24V，无极性</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 使用环境：温 度：-10℃～+50℃；相对湿度≤95%，不凝露</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 外形尺寸： 348mm×159mm×25mm （带底壳）</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10、气体控制盘联网卡主要技术指标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（1）每块 LWK 系列联网卡提供 1 路光电隔离的 CAN 接口；</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（2）传输介质：截面积≥1.0 mm 2 的屏蔽双绞线；</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（3）信号传输距离＜3km；</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（4）板卡安装方式：</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控制器：机箱内有卡件安装固定孔，螺丝固定；</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控制器：直接插入控制器主机箱母板插槽中，螺丝固定。</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11、气体灭火控制盘主要技术指标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 工作电压：交流 AC220V 50/60Hz ，允许电压变化范围 AC176V～AC264V；</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 功耗：监视状态功耗≤30W；最大功耗≤380W；</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 备用电源：2 个 DC12V/7Ah 密封铅酸电池；</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 气体喷洒输出：各区 DC24V/3A，脉冲方式/持续方式,可调；</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 电池充电电流： 1.0A~1.7A ；</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 液晶屏规格﹕128×64 点，可同屏显示 32 个汉字信息；</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 容量</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可带 4 个区的气体灭火设备，实现对 4 个防护区的保护； </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可带 2 个区的气体灭火设备，实现对 2 个防护区的保护。其中每个区所带设备及数量如下：</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电磁阀：1 个，额定电压 DC24V,最大电流 3A；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压力开关：1 个，常开触点，动作时闭合；</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声光警报器：1～10 个，编码地址范围 1～10；</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气体释放警报器：1～6 个，编码地址范围 11～20；</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紧急启/停按钮和手自动转换开关：共 1～10 个，编码地址范围 21～30；</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输出模块：1～6 个，编码地址范围 31～40。</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最多可同时启动 2 个区的气体灭火设备释放灭火剂进行灭火 。</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12、紧急启停按钮主要技术指标</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 工作电压：总线 24V，允许范围：16V～28V</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 监视电流：≤ 0.8mA ，报警电流≤ 10mA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 编码方式：电子编码方式，编码范围可在 21～30 之间任意设定</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 常开输出触点：额定值 DC60V、0.1A，接触电阻≤100m </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 启动方式：击碎玻璃罩后，按下“按下喷洒”按键</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 启动零件类型：重复使用型</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 “按下喷洒”按键复位方式：用专用钥匙复位</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 指示灯：</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“按下喷洒”按键：红色，按下时常亮</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“停止”按键：绿色，按下时常亮</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 线制：与气体灭火控制器采用无极性两线制连接</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 外壳防护等级： IP33</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 使用环境：温 度： -10 ℃～ +55 ℃；相对湿度≤ 95% ，不凝露</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 外形尺寸：112（长）mm  133（高）mm  65mm（厚）</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13、柜式七氟丙烷主要技术参数</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灭火药剂储瓶规格：90L,</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最大工作压力：6.7MPa,</w:t>
      </w:r>
    </w:p>
    <w:p>
      <w:pPr>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启动电压╱电流：DC4V╱1.5A</w:t>
      </w:r>
    </w:p>
    <w:p>
      <w:pPr>
        <w:spacing w:line="540" w:lineRule="exact"/>
        <w:ind w:right="-82" w:rightChars="-39"/>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六、磋商报价</w:t>
      </w:r>
    </w:p>
    <w:p>
      <w:pPr>
        <w:spacing w:line="540" w:lineRule="exact"/>
        <w:ind w:right="-82" w:rightChars="-39"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1、磋商报价应是磋商文件所确定的采购内容及技术要求的报价，且为包干价。须分成都体育学院、附属医院制药厂两个部份分别报价。</w:t>
      </w:r>
    </w:p>
    <w:p>
      <w:pPr>
        <w:spacing w:line="540" w:lineRule="exact"/>
        <w:ind w:right="-82" w:rightChars="-39"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根据磋商文件、磋商内容、现场踏勘，供应商单位自行负责按市场价格和自己的实力编制磋商报价﹙注：工程量清单中采购人已给定的主要材料暂估单价及暂列金额，报价组价时不得更改，凡是发现更改的磋商报价为无效报价﹚，成交后综合单价固定，工程量经审计按实结算。</w:t>
      </w:r>
    </w:p>
    <w:p>
      <w:pPr>
        <w:spacing w:line="540" w:lineRule="exact"/>
        <w:ind w:right="-82" w:rightChars="-39" w:firstLine="482"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七、商务要求</w:t>
      </w:r>
    </w:p>
    <w:p>
      <w:pPr>
        <w:spacing w:line="540" w:lineRule="exact"/>
        <w:ind w:right="-82" w:rightChars="-39"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1.工期：自签订合同之日起，45日历天内完工并通过验收。</w:t>
      </w:r>
    </w:p>
    <w:p>
      <w:pPr>
        <w:spacing w:line="540" w:lineRule="exact"/>
        <w:ind w:right="-82" w:rightChars="-39"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2.付款方式</w:t>
      </w:r>
      <w:r>
        <w:rPr>
          <w:rFonts w:hint="eastAsia" w:asciiTheme="minorEastAsia" w:hAnsiTheme="minorEastAsia" w:eastAsiaTheme="minorEastAsia" w:cstheme="minorEastAsia"/>
          <w:color w:val="auto"/>
          <w:sz w:val="24"/>
          <w:szCs w:val="24"/>
          <w:highlight w:val="none"/>
          <w:lang w:eastAsia="zh-CN"/>
        </w:rPr>
        <w:t>：经决算审计程序后，采购人不晚于2020年6月30日支付全部货款。</w:t>
      </w:r>
    </w:p>
    <w:p>
      <w:pPr>
        <w:spacing w:line="540" w:lineRule="exact"/>
        <w:ind w:right="-82" w:rightChars="-39"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质保期两年后，若质保期内无质量问题，</w:t>
      </w:r>
      <w:r>
        <w:rPr>
          <w:rFonts w:hint="eastAsia" w:asciiTheme="minorEastAsia" w:hAnsiTheme="minorEastAsia" w:eastAsiaTheme="minorEastAsia" w:cstheme="minorEastAsia"/>
          <w:color w:val="auto"/>
          <w:sz w:val="24"/>
          <w:szCs w:val="24"/>
          <w:highlight w:val="none"/>
          <w:lang w:eastAsia="zh-CN"/>
        </w:rPr>
        <w:t>采购人</w:t>
      </w:r>
      <w:r>
        <w:rPr>
          <w:rFonts w:hint="eastAsia" w:asciiTheme="minorEastAsia" w:hAnsiTheme="minorEastAsia" w:eastAsiaTheme="minorEastAsia" w:cstheme="minorEastAsia"/>
          <w:color w:val="auto"/>
          <w:sz w:val="24"/>
          <w:szCs w:val="24"/>
          <w:highlight w:val="none"/>
        </w:rPr>
        <w:t>无息一次性全额退还</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履约保证金。</w:t>
      </w:r>
    </w:p>
    <w:p>
      <w:pPr>
        <w:spacing w:line="540" w:lineRule="exact"/>
        <w:ind w:right="-82" w:rightChars="-39"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3.缺陷责任期：24个月。</w:t>
      </w:r>
    </w:p>
    <w:p>
      <w:pPr>
        <w:spacing w:line="540" w:lineRule="exact"/>
        <w:ind w:right="-82" w:rightChars="-39"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4.质保期：2年。</w:t>
      </w:r>
    </w:p>
    <w:p>
      <w:pPr>
        <w:spacing w:line="540" w:lineRule="exact"/>
        <w:ind w:right="-82" w:rightChars="-39" w:firstLine="480" w:firstLineChars="200"/>
        <w:rPr>
          <w:rFonts w:asciiTheme="minorEastAsia" w:hAnsiTheme="minorEastAsia" w:eastAsiaTheme="minorEastAsia" w:cstheme="minorEastAsia"/>
          <w:color w:val="auto"/>
          <w:sz w:val="24"/>
          <w:szCs w:val="24"/>
          <w:highlight w:val="none"/>
        </w:rPr>
      </w:pPr>
    </w:p>
    <w:p>
      <w:pPr>
        <w:pStyle w:val="2"/>
        <w:rPr>
          <w:rFonts w:hint="eastAsia"/>
          <w:color w:val="auto"/>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A0204"/>
    <w:charset w:val="00"/>
    <w:family w:val="roman"/>
    <w:pitch w:val="default"/>
    <w:sig w:usb0="E00002FF" w:usb1="4000045F" w:usb2="00000000" w:usb3="00000000" w:csb0="2000019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F30AAE"/>
    <w:multiLevelType w:val="singleLevel"/>
    <w:tmpl w:val="65F30AA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0B4B6D"/>
    <w:rsid w:val="092151CA"/>
    <w:rsid w:val="09BF3D4B"/>
    <w:rsid w:val="0C1E28D8"/>
    <w:rsid w:val="0E6D674C"/>
    <w:rsid w:val="0EBC3636"/>
    <w:rsid w:val="16840C88"/>
    <w:rsid w:val="23126D3A"/>
    <w:rsid w:val="24A12424"/>
    <w:rsid w:val="2686519A"/>
    <w:rsid w:val="2EFF73D4"/>
    <w:rsid w:val="30DF1A0D"/>
    <w:rsid w:val="332B2D2A"/>
    <w:rsid w:val="33AC3FB0"/>
    <w:rsid w:val="41A7121A"/>
    <w:rsid w:val="44CA6D43"/>
    <w:rsid w:val="48E9189E"/>
    <w:rsid w:val="4C255CC2"/>
    <w:rsid w:val="4CCA6959"/>
    <w:rsid w:val="4D5F1835"/>
    <w:rsid w:val="4EED30BC"/>
    <w:rsid w:val="56D87C8E"/>
    <w:rsid w:val="570B4B6D"/>
    <w:rsid w:val="57965267"/>
    <w:rsid w:val="61F16BC4"/>
    <w:rsid w:val="62752B34"/>
    <w:rsid w:val="68EE4C83"/>
    <w:rsid w:val="6E787967"/>
    <w:rsid w:val="6EF65832"/>
    <w:rsid w:val="705D12B9"/>
    <w:rsid w:val="73967AC5"/>
    <w:rsid w:val="746968F7"/>
    <w:rsid w:val="781B33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Cambria" w:hAnsi="Cambria" w:eastAsia="Cambria" w:cs="Cambria"/>
      <w:b/>
      <w:bCs/>
      <w:sz w:val="28"/>
      <w:szCs w:val="28"/>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4">
    <w:name w:val="annotation text"/>
    <w:basedOn w:val="1"/>
    <w:qFormat/>
    <w:uiPriority w:val="0"/>
    <w:pPr>
      <w:jc w:val="left"/>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valueinfo"/>
    <w:basedOn w:val="7"/>
    <w:qFormat/>
    <w:uiPriority w:val="0"/>
    <w:rPr>
      <w:color w:val="666666"/>
    </w:rPr>
  </w:style>
  <w:style w:type="character" w:customStyle="1" w:styleId="9">
    <w:name w:val="l-btn-left2"/>
    <w:basedOn w:val="7"/>
    <w:qFormat/>
    <w:uiPriority w:val="0"/>
  </w:style>
  <w:style w:type="character" w:customStyle="1" w:styleId="10">
    <w:name w:val="l-btn-left3"/>
    <w:basedOn w:val="7"/>
    <w:qFormat/>
    <w:uiPriority w:val="0"/>
  </w:style>
  <w:style w:type="character" w:customStyle="1" w:styleId="11">
    <w:name w:val="l-btn-left4"/>
    <w:basedOn w:val="7"/>
    <w:qFormat/>
    <w:uiPriority w:val="0"/>
  </w:style>
  <w:style w:type="character" w:customStyle="1" w:styleId="12">
    <w:name w:val="l-btn-left5"/>
    <w:basedOn w:val="7"/>
    <w:qFormat/>
    <w:uiPriority w:val="0"/>
  </w:style>
  <w:style w:type="character" w:customStyle="1" w:styleId="13">
    <w:name w:val="l-btn-text"/>
    <w:basedOn w:val="7"/>
    <w:qFormat/>
    <w:uiPriority w:val="0"/>
  </w:style>
  <w:style w:type="character" w:customStyle="1" w:styleId="14">
    <w:name w:val="l-btn-text1"/>
    <w:basedOn w:val="7"/>
    <w:qFormat/>
    <w:uiPriority w:val="0"/>
    <w:rPr>
      <w:color w:val="1864AC"/>
      <w:sz w:val="18"/>
      <w:szCs w:val="18"/>
    </w:rPr>
  </w:style>
  <w:style w:type="character" w:customStyle="1" w:styleId="15">
    <w:name w:val="info"/>
    <w:basedOn w:val="7"/>
    <w:qFormat/>
    <w:uiPriority w:val="0"/>
  </w:style>
  <w:style w:type="character" w:customStyle="1" w:styleId="16">
    <w:name w:val="l-btn-empty"/>
    <w:basedOn w:val="7"/>
    <w:qFormat/>
    <w:uiPriority w:val="0"/>
  </w:style>
  <w:style w:type="character" w:customStyle="1" w:styleId="17">
    <w:name w:val="cke_colorbox"/>
    <w:basedOn w:val="7"/>
    <w:qFormat/>
    <w:uiPriority w:val="0"/>
  </w:style>
  <w:style w:type="character" w:customStyle="1" w:styleId="18">
    <w:name w:val="cke_colorbox1"/>
    <w:basedOn w:val="7"/>
    <w:qFormat/>
    <w:uiPriority w:val="0"/>
    <w:rPr>
      <w:bdr w:val="single" w:color="808080" w:sz="6" w:space="0"/>
    </w:rPr>
  </w:style>
  <w:style w:type="character" w:customStyle="1" w:styleId="19">
    <w:name w:val="tree-title4"/>
    <w:basedOn w:val="7"/>
    <w:qFormat/>
    <w:uiPriority w:val="0"/>
    <w:rPr>
      <w:color w:val="1864AC"/>
    </w:rPr>
  </w:style>
  <w:style w:type="character" w:customStyle="1" w:styleId="20">
    <w:name w:val="tree-title5"/>
    <w:basedOn w:val="7"/>
    <w:qFormat/>
    <w:uiPriority w:val="0"/>
    <w:rPr>
      <w:color w:val="FFFFFF"/>
      <w:shd w:val="clear" w:fill="3366CC"/>
    </w:rPr>
  </w:style>
  <w:style w:type="character" w:customStyle="1" w:styleId="21">
    <w:name w:val="vainfo2"/>
    <w:basedOn w:val="7"/>
    <w:qFormat/>
    <w:uiPriority w:val="0"/>
    <w:rPr>
      <w:color w:val="FF0000"/>
      <w:bdr w:val="single" w:color="FCBCBC" w:sz="6" w:space="0"/>
      <w:shd w:val="clear" w:fill="FFE4E4"/>
    </w:rPr>
  </w:style>
  <w:style w:type="character" w:customStyle="1" w:styleId="22">
    <w:name w:val="pwdtips_alert"/>
    <w:basedOn w:val="7"/>
    <w:qFormat/>
    <w:uiPriority w:val="0"/>
    <w:rPr>
      <w:bdr w:val="single" w:color="FFCB25" w:sz="6" w:space="0"/>
      <w:shd w:val="clear" w:fill="FFEAA6"/>
    </w:rPr>
  </w:style>
  <w:style w:type="character" w:customStyle="1" w:styleId="23">
    <w:name w:val="red"/>
    <w:basedOn w:val="7"/>
    <w:qFormat/>
    <w:uiPriority w:val="0"/>
    <w:rPr>
      <w:color w:val="FF0000"/>
    </w:rPr>
  </w:style>
  <w:style w:type="character" w:customStyle="1" w:styleId="24">
    <w:name w:val="tree-file2"/>
    <w:basedOn w:val="7"/>
    <w:qFormat/>
    <w:uiPriority w:val="0"/>
  </w:style>
  <w:style w:type="character" w:customStyle="1" w:styleId="25">
    <w:name w:val="topic"/>
    <w:basedOn w:val="7"/>
    <w:qFormat/>
    <w:uiPriority w:val="0"/>
    <w:rPr>
      <w:color w:val="FF0000"/>
    </w:rPr>
  </w:style>
  <w:style w:type="character" w:customStyle="1" w:styleId="26">
    <w:name w:val="green"/>
    <w:basedOn w:val="7"/>
    <w:qFormat/>
    <w:uiPriority w:val="0"/>
    <w:rPr>
      <w:color w:val="00A521"/>
    </w:rPr>
  </w:style>
  <w:style w:type="character" w:customStyle="1" w:styleId="27">
    <w:name w:val="combo2"/>
    <w:basedOn w:val="7"/>
    <w:qFormat/>
    <w:uiPriority w:val="0"/>
  </w:style>
  <w:style w:type="character" w:customStyle="1" w:styleId="28">
    <w:name w:val="pwdtips_error"/>
    <w:basedOn w:val="7"/>
    <w:qFormat/>
    <w:uiPriority w:val="0"/>
    <w:rPr>
      <w:bdr w:val="single" w:color="FF2525" w:sz="6" w:space="0"/>
      <w:shd w:val="clear" w:fill="FFA6A6"/>
    </w:rPr>
  </w:style>
  <w:style w:type="character" w:customStyle="1" w:styleId="29">
    <w:name w:val="pwdtips_ok"/>
    <w:basedOn w:val="7"/>
    <w:qFormat/>
    <w:uiPriority w:val="0"/>
    <w:rPr>
      <w:bdr w:val="single" w:color="8EFF25" w:sz="6" w:space="0"/>
      <w:shd w:val="clear" w:fill="B4FFA6"/>
    </w:rPr>
  </w:style>
  <w:style w:type="paragraph" w:customStyle="1" w:styleId="30">
    <w:name w:val="_Style 27"/>
    <w:basedOn w:val="1"/>
    <w:next w:val="1"/>
    <w:qFormat/>
    <w:uiPriority w:val="0"/>
    <w:pPr>
      <w:pBdr>
        <w:bottom w:val="single" w:color="auto" w:sz="6" w:space="1"/>
      </w:pBdr>
      <w:jc w:val="center"/>
    </w:pPr>
    <w:rPr>
      <w:rFonts w:ascii="Arial" w:eastAsia="宋体"/>
      <w:vanish/>
      <w:sz w:val="16"/>
    </w:rPr>
  </w:style>
  <w:style w:type="paragraph" w:customStyle="1" w:styleId="31">
    <w:name w:val="_Style 28"/>
    <w:basedOn w:val="1"/>
    <w:next w:val="1"/>
    <w:qFormat/>
    <w:uiPriority w:val="0"/>
    <w:pPr>
      <w:pBdr>
        <w:top w:val="single" w:color="auto" w:sz="6" w:space="1"/>
      </w:pBdr>
      <w:jc w:val="center"/>
    </w:pPr>
    <w:rPr>
      <w:rFonts w:ascii="Arial" w:eastAsia="宋体"/>
      <w:vanish/>
      <w:sz w:val="16"/>
    </w:rPr>
  </w:style>
  <w:style w:type="character" w:customStyle="1" w:styleId="32">
    <w:name w:val="tree-file"/>
    <w:basedOn w:val="7"/>
    <w:qFormat/>
    <w:uiPriority w:val="0"/>
  </w:style>
  <w:style w:type="character" w:customStyle="1" w:styleId="33">
    <w:name w:val="l-btn-left"/>
    <w:basedOn w:val="7"/>
    <w:qFormat/>
    <w:uiPriority w:val="0"/>
  </w:style>
  <w:style w:type="character" w:customStyle="1" w:styleId="34">
    <w:name w:val="l-btn-left1"/>
    <w:basedOn w:val="7"/>
    <w:qFormat/>
    <w:uiPriority w:val="0"/>
  </w:style>
  <w:style w:type="character" w:customStyle="1" w:styleId="35">
    <w:name w:val="cke_colorbox2"/>
    <w:basedOn w:val="7"/>
    <w:qFormat/>
    <w:uiPriority w:val="0"/>
  </w:style>
  <w:style w:type="character" w:customStyle="1" w:styleId="36">
    <w:name w:val="cke_colorbox3"/>
    <w:basedOn w:val="7"/>
    <w:qFormat/>
    <w:uiPriority w:val="0"/>
    <w:rPr>
      <w:bdr w:val="single" w:color="808080" w:sz="6" w:space="0"/>
    </w:rPr>
  </w:style>
  <w:style w:type="character" w:customStyle="1" w:styleId="37">
    <w:name w:val="tree-title"/>
    <w:basedOn w:val="7"/>
    <w:qFormat/>
    <w:uiPriority w:val="0"/>
    <w:rPr>
      <w:color w:val="1864AC"/>
    </w:rPr>
  </w:style>
  <w:style w:type="character" w:customStyle="1" w:styleId="38">
    <w:name w:val="tree-title1"/>
    <w:basedOn w:val="7"/>
    <w:qFormat/>
    <w:uiPriority w:val="0"/>
    <w:rPr>
      <w:color w:val="FFFFFF"/>
      <w:shd w:val="clear" w:fill="3366CC"/>
    </w:rPr>
  </w:style>
  <w:style w:type="character" w:customStyle="1" w:styleId="39">
    <w:name w:val="combo"/>
    <w:basedOn w:val="7"/>
    <w:qFormat/>
    <w:uiPriority w:val="0"/>
  </w:style>
  <w:style w:type="character" w:customStyle="1" w:styleId="40">
    <w:name w:val="vainfo"/>
    <w:basedOn w:val="7"/>
    <w:qFormat/>
    <w:uiPriority w:val="0"/>
    <w:rPr>
      <w:color w:val="FF0000"/>
      <w:bdr w:val="single" w:color="FCBCBC" w:sz="6" w:space="0"/>
      <w:shd w:val="clear" w:fill="FFE4E4"/>
    </w:rPr>
  </w:style>
  <w:style w:type="character" w:customStyle="1" w:styleId="41">
    <w:name w:val="无"/>
    <w:qFormat/>
    <w:uiPriority w:val="0"/>
  </w:style>
  <w:style w:type="paragraph" w:customStyle="1" w:styleId="42">
    <w:name w:val="正文 A"/>
    <w:next w:val="3"/>
    <w:qFormat/>
    <w:uiPriority w:val="0"/>
    <w:pPr>
      <w:widowControl w:val="0"/>
      <w:jc w:val="both"/>
    </w:pPr>
    <w:rPr>
      <w:rFonts w:ascii="宋体" w:hAnsi="宋体" w:eastAsia="宋体" w:cs="宋体"/>
      <w:color w:val="000000"/>
      <w:sz w:val="34"/>
      <w:szCs w:val="34"/>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2019-04-03T07:33:00Z</dcterms:created>
  <dc:creator>ZY_gonggaozhuanyuan</dc:creator>
  <cp:lastModifiedBy>stone</cp:lastModifiedBy>
  <cp:lastPrinted>2019-12-25T09:20:00Z</cp:lastPrinted>
  <dcterms:modified xsi:type="dcterms:W3CDTF">2019-12-25T09:32:18Z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